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5" w:beforeLines="100" w:after="315" w:afterLines="100" w:line="560" w:lineRule="exact"/>
        <w:jc w:val="center"/>
        <w:rPr>
          <w:rFonts w:eastAsia="仿宋_GB2312"/>
          <w:sz w:val="28"/>
          <w:szCs w:val="28"/>
        </w:rPr>
      </w:pPr>
      <w:bookmarkStart w:id="0" w:name="_GoBack"/>
      <w:r>
        <w:rPr>
          <w:rFonts w:eastAsia="方正小标宋简体"/>
          <w:sz w:val="44"/>
          <w:szCs w:val="44"/>
        </w:rPr>
        <w:t>2021年县域医共体建设重点任务清单</w:t>
      </w:r>
    </w:p>
    <w:bookmarkEnd w:id="0"/>
    <w:tbl>
      <w:tblPr>
        <w:tblStyle w:val="4"/>
        <w:tblW w:w="14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8683"/>
        <w:gridCol w:w="1743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51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一、“深化改革”行动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8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重点任务</w:t>
            </w:r>
          </w:p>
        </w:tc>
        <w:tc>
          <w:tcPr>
            <w:tcW w:w="8683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主要内容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责任单位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夯实管理责任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1.1制定医共体2021年重点工作任务清单、县级部门责任清单，并将年度任务完成情况纳入政府对部门考核体系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各医共体管委会办公室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4月底完成并持续推进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1.2落实省人大常委会《关于促进县域医疗卫生服务共同体健康发展的决定》，切实加强工作推进和制度供给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1.3全面落实党委领导下的院长负责制，压实清廉医院建设工作职责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加强人才培养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2.1提升医共体管理队伍职业化、专业化水平，开展“五大管理中心”人员能力素质提升培训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各地卫生健康行政部门、各医共体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6月底完成并持续实施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2.2牵头医院面向成员单位开展以全科为主兼顾专科的模块化培训，成员单位开展具有专科特色和基层特点的临床实践教学活动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6月底完成并持续实施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2.3加强全科医生人员招聘、定向培养、规范化培训和转岗培训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推进医保协同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3.1建立健全医保经办机构与县域医共体的协商谈判机制，完善医保总额预算、结余留用、超支分担机制，落实差别化医保报销政策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各医共体管委会办公室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3.2动态调整医疗服务价格，逐步理顺医疗服务比价关系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完善绩效评估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4.1</w:t>
            </w:r>
            <w:r>
              <w:rPr>
                <w:rFonts w:eastAsia="仿宋_GB2312"/>
                <w:spacing w:val="-14"/>
                <w:sz w:val="28"/>
                <w:szCs w:val="28"/>
              </w:rPr>
              <w:t>健全完善医共体考核评价体系，组织对医共体及医共体负责人开展考核</w:t>
            </w:r>
            <w:r>
              <w:rPr>
                <w:rFonts w:hint="eastAsia" w:eastAsia="仿宋_GB2312"/>
                <w:spacing w:val="-14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各医共体管委会办公室、各医共体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4.2</w:t>
            </w:r>
            <w:r>
              <w:rPr>
                <w:rFonts w:eastAsia="仿宋_GB2312"/>
                <w:spacing w:val="6"/>
                <w:sz w:val="28"/>
                <w:szCs w:val="28"/>
              </w:rPr>
              <w:t>由医共体对成员单位</w:t>
            </w:r>
            <w:r>
              <w:rPr>
                <w:rFonts w:hint="eastAsia" w:eastAsia="仿宋_GB2312"/>
                <w:spacing w:val="6"/>
                <w:sz w:val="28"/>
                <w:szCs w:val="28"/>
              </w:rPr>
              <w:t>进行</w:t>
            </w:r>
            <w:r>
              <w:rPr>
                <w:rFonts w:eastAsia="仿宋_GB2312"/>
                <w:spacing w:val="6"/>
                <w:sz w:val="28"/>
                <w:szCs w:val="28"/>
              </w:rPr>
              <w:t>绩效考核，落实基层医疗卫生机构补偿机制改革</w:t>
            </w:r>
            <w:r>
              <w:rPr>
                <w:rFonts w:hint="eastAsia" w:eastAsia="仿宋_GB2312"/>
                <w:spacing w:val="6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二、“优化配置”行动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88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重点任务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主要内容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责任单位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工作一盘棋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5.1围绕管理扁平化，全面推进医共体内部人力资源、财务、医保、公共卫生和信息化等管理中心实体化运行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5.2围绕运行垂直化，牵头医院对成员单位联合门诊和联合病房相应科室实行垂直管理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5.3围绕服务同质化，推进医共体内医疗质量管理、医疗技术管理、医院感染管理等业务制度、工作流程、服务质量相统一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全员一家人</w:t>
            </w:r>
          </w:p>
        </w:tc>
        <w:tc>
          <w:tcPr>
            <w:tcW w:w="868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6.1医共体成员单位负责人由医共体负责提名并任命；全面强化医共体领导班子成员任期制、任期目标责任制和年度目标责任制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各医共体管委会办公室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6.2制定县乡两类编制统筹使用方案，落实医共体人员统筹调配使用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6.3落实统一岗位设置，牵头医院等级核定医共体岗位总量，分类核定总院和成员单位岗位数量，并向一线和基层倾斜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6.4落实统一公开招聘，根据岗位空缺情况，由医共体对外统一公开招聘；加强乡村卫生人员管理，推行“县聘乡管村用”机制，补充成员单位紧缺人员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6.5落实职称自主评聘和统一岗位竞聘，根据牵头医院和成员单位功能定位和岗位特点，制定差异化评聘标准，实行分类评价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6.6落实薪酬自主分配，以岗位为基础，以绩效为核心，实现薪酬分配一体化，并向基层一线和重点岗位倾斜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财务一本账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7.1落实统一账户管理，在实施医共体零余额账户和基本存款账户管理基础上，每半年进行1次财务分析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各医共体管委会办公室、各医共体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7月底完成并持续实施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7.2落实统一预算管理，医共体编制年度总预算、成员单位分预算，加强预算执行分析和评价，提高资金使用效率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7.3落实统一资产管理，医共体所有资产实行统一规划和使用管理，医共体药品、耗材、器械等实施统一采购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三、“数字赋能”行动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重点任务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主要内容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责任单位</w:t>
            </w:r>
          </w:p>
        </w:tc>
        <w:tc>
          <w:tcPr>
            <w:tcW w:w="1699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pacing w:val="9"/>
                <w:sz w:val="28"/>
                <w:szCs w:val="28"/>
              </w:rPr>
            </w:pPr>
            <w:r>
              <w:rPr>
                <w:rFonts w:eastAsia="仿宋_GB2312"/>
                <w:spacing w:val="9"/>
                <w:sz w:val="28"/>
                <w:szCs w:val="28"/>
              </w:rPr>
              <w:t>8</w:t>
            </w:r>
            <w:r>
              <w:rPr>
                <w:rFonts w:hint="eastAsia" w:eastAsia="仿宋_GB2312"/>
                <w:spacing w:val="9"/>
                <w:sz w:val="28"/>
                <w:szCs w:val="28"/>
              </w:rPr>
              <w:t>．</w:t>
            </w:r>
            <w:r>
              <w:rPr>
                <w:rFonts w:eastAsia="仿宋_GB2312"/>
                <w:spacing w:val="9"/>
                <w:sz w:val="28"/>
                <w:szCs w:val="28"/>
              </w:rPr>
              <w:t>加快推进智慧服务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8.1推动信息技术与医疗服务深度融合，开展检查自助预约、体检自助预约、无偿献血荣誉证获得者挂号直免等服务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各地卫生健康行政部门、各医共体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pacing w:val="9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8.2推动“互联网+医疗服务”优化升级，形成网上看病、在线结算、送药上门的闭环式规范管理和服务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pacing w:val="9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8.3推进“检查检验共享常态化”“住院服务智慧化”“就医结算便利化”等智慧服务项目，提升群众就医获得感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pacing w:val="9"/>
                <w:sz w:val="28"/>
                <w:szCs w:val="28"/>
              </w:rPr>
            </w:pPr>
            <w:r>
              <w:rPr>
                <w:rFonts w:eastAsia="仿宋_GB2312"/>
                <w:spacing w:val="9"/>
                <w:sz w:val="28"/>
                <w:szCs w:val="28"/>
              </w:rPr>
              <w:t>9</w:t>
            </w:r>
            <w:r>
              <w:rPr>
                <w:rFonts w:hint="eastAsia" w:eastAsia="仿宋_GB2312"/>
                <w:spacing w:val="9"/>
                <w:sz w:val="28"/>
                <w:szCs w:val="28"/>
              </w:rPr>
              <w:t>．</w:t>
            </w:r>
            <w:r>
              <w:rPr>
                <w:rFonts w:eastAsia="仿宋_GB2312"/>
                <w:spacing w:val="9"/>
                <w:sz w:val="28"/>
                <w:szCs w:val="28"/>
              </w:rPr>
              <w:t>加快推进智慧治理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9.1搭建统一的数字医共体组织架构和应用框架，打造覆盖所有医共体成员单位的卫生健康线上协同体系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各地卫生健康行政部门、各医共体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9.2推进以电子病历为核心的医院信息化建设，全面提升临床诊疗工作的智慧化程度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9.3提升县域病理、影像、心电共享中心建设，加快推进区域医院信息管理系统、区域检验、区域影像归档和通信系统等集约化应用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1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四、“能力提升”行动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重点任务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主要内容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责任单位</w:t>
            </w:r>
          </w:p>
        </w:tc>
        <w:tc>
          <w:tcPr>
            <w:tcW w:w="1699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打造县级强院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10.1牵头医院加强重点学科、专科和专病中心建设，病例组合指数（CMI值）同比提升，全面达到二甲以上能力水平；县域就诊率同比提升1个百分点或达到90%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各地卫生健康行政部门、各医共体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9"/>
                <w:sz w:val="28"/>
                <w:szCs w:val="28"/>
              </w:rPr>
              <w:t>10.2山区海岛县县级医院与省市级医院精准对接，提升“3342X”服务能力</w:t>
            </w:r>
            <w:r>
              <w:rPr>
                <w:rFonts w:hint="eastAsia" w:eastAsia="仿宋_GB2312"/>
                <w:spacing w:val="9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10.3完善双向转诊办法和疾病诊疗目录，医共体内双向转诊人次同比提升，下转增幅高于上转增幅；“两慢病”先行地区基层门诊就诊率达70%以上，牵头医院下转“两慢病”患者增长10%以上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提升基层能力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11.1持续推进全专科联合门诊和联合病房建设，成员单位门诊和住院病种分别达100种和60种；基层就诊率同比提升2个百分点或达到65%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各地卫生健康行政部门、各医共体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11.2完善村级医疗卫生机构一体化管理，村卫生室规范化率达70%；加强巡回医疗服务力度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11.3健全完善县域中医服务网络，强化中医特色服务、中西医结合服务，乡乡有中医馆和中医师，村村开展中医服务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五、“医防融合”行动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重点任务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主要内容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责任单位</w:t>
            </w:r>
          </w:p>
        </w:tc>
        <w:tc>
          <w:tcPr>
            <w:tcW w:w="1699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推进医防融合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12.1拓展延伸“两员一中心一团队”工作模式，建立健全医共体与疾控、妇幼、精神卫生等专业公共卫生机构密切协作工作机制，推动医防机构人员通、信息通、资源通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各地卫生健康行政部门、各医共体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12.2深化签约服务内涵，重点人群家庭医生签约率巩固在70%以上；做实基本公共卫生服务，“两慢病”患者规范管理率保持在70%以上，电子健康档案向居民开放率达60%以上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完善闭环管理</w:t>
            </w: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13.1二级以上综合医院、开设儿科服务的妇幼保健院、中医院规范设置发热门诊和隔离留观室，严格落实“四集中”要求，提升核酸采样、实验室检测、医疗救治和院感防控能力，加强对成员单位的指导巡查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各地卫生健康行政部门、各医共体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13.2成员单位严格落实预检分诊，设立发热诊室（传染性疾病专用诊室）和隔离留观室，有条件的可设置发热门诊，规范发热病人就诊流程，严格落实“四早”要求，及时发现和转诊可疑病例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8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13.3统筹做好新冠病毒疫苗预防接种服务和医疗救治保障工作，每个接种点均做到有经专业培训的驻点急诊急救人员，有必备的急救设备药品，有120急救车现场值守，有二级以上综合医院救治绿色通道。</w:t>
            </w: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持续实施</w:t>
            </w:r>
          </w:p>
        </w:tc>
      </w:tr>
    </w:tbl>
    <w:p>
      <w:pPr>
        <w:spacing w:before="157" w:beforeLines="50" w:line="400" w:lineRule="exact"/>
        <w:ind w:firstLine="560" w:firstLineChars="200"/>
        <w:rPr>
          <w:rFonts w:eastAsia="仿宋_GB2312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5" w:charSpace="0"/>
        </w:sectPr>
      </w:pPr>
      <w:r>
        <w:rPr>
          <w:rFonts w:eastAsia="仿宋_GB2312"/>
          <w:sz w:val="28"/>
          <w:szCs w:val="28"/>
        </w:rPr>
        <w:t>鼓励各地重点探索的医共体改革事项：1.医共体人员岗位管理；2.数字医共体建设；3.公共卫生“两员一中心一团队”运行机制；4.医共体医保支付方式改革；5.医共体医疗服务价格调整；6.医共体统一预算管理。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6A"/>
    <w:rsid w:val="00E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eastAsia="方正小标宋简体" w:cs="Times New Roman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2021-06-01T06:57:00Z</dcterms:created>
  <dc:creator>admin</dc:creator>
  <cp:lastModifiedBy>admin</cp:lastModifiedBy>
  <dcterms:modified xsi:type="dcterms:W3CDTF">2021-06-01T06:58:19Z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