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浙江省健康村建设标准</w:t>
      </w:r>
    </w:p>
    <w:p>
      <w:pPr>
        <w:spacing w:line="660" w:lineRule="exact"/>
        <w:jc w:val="center"/>
        <w:rPr>
          <w:rFonts w:eastAsia="楷体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基本条件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省卫生村创建成果得到有效巩固。</w:t>
      </w:r>
    </w:p>
    <w:p>
      <w:pPr>
        <w:numPr>
          <w:ilvl w:val="0"/>
          <w:numId w:val="2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无重大危害健康事件发生</w:t>
      </w:r>
      <w:r>
        <w:rPr>
          <w:rFonts w:hint="eastAsia" w:eastAsia="仿宋_GB2312"/>
          <w:color w:val="000000"/>
          <w:kern w:val="0"/>
          <w:sz w:val="32"/>
          <w:szCs w:val="32"/>
        </w:rPr>
        <w:t>，包括</w:t>
      </w:r>
      <w:r>
        <w:rPr>
          <w:rFonts w:eastAsia="仿宋_GB2312"/>
          <w:color w:val="000000"/>
          <w:kern w:val="0"/>
          <w:sz w:val="32"/>
          <w:szCs w:val="32"/>
        </w:rPr>
        <w:t>重大环境事件、重大食品药品和农产品安全事件、重大公共卫生安全事件。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3.90%以上的家庭开展健康家庭建设，其中符合省级健康家庭建设标准的达到30%以上。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普及健康生活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利用宣传栏、广播站、新媒体、电子屏、讲座培训等开展健康知识宣传，结合实际开展群众喜闻乐见的健康教育活动。开展健康素养进文化礼堂活动。500人以上常住人口的行政村设图书室并免费开放。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5.</w:t>
      </w:r>
      <w:r>
        <w:rPr>
          <w:rFonts w:eastAsia="仿宋_GB2312"/>
          <w:color w:val="000000"/>
          <w:kern w:val="0"/>
          <w:sz w:val="32"/>
          <w:szCs w:val="32"/>
        </w:rPr>
        <w:t>树立“每个人是自己健康第一责任人”理念，引导村民饮食限盐控油，不吸烟、多运动。积极推进农家乐、家宴中心等场所“公筷公勺”使用、制止餐饮浪费行为，养成文明就餐、节约粮食好习惯。室内公共（活动）场所禁止吸烟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6.</w:t>
      </w:r>
      <w:r>
        <w:rPr>
          <w:rFonts w:eastAsia="仿宋_GB2312"/>
          <w:color w:val="000000"/>
          <w:kern w:val="0"/>
          <w:sz w:val="32"/>
          <w:szCs w:val="32"/>
        </w:rPr>
        <w:t>建设健身场所，推进全民科学健身，因地制宜建设健康步道、室内健身场所和老年活动室等，体育健身设施能满足群众健身需要。群众性体育团队不少于3支，拥有等级社会体育指导员不少于2人，积极组织开展多种形式的文体活动。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优化健康服务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7.</w:t>
      </w:r>
      <w:r>
        <w:rPr>
          <w:rFonts w:eastAsia="仿宋_GB2312"/>
          <w:color w:val="000000"/>
          <w:kern w:val="0"/>
          <w:sz w:val="32"/>
          <w:szCs w:val="32"/>
        </w:rPr>
        <w:t>按规划设置村级卫生机构，并达到省规范化要求。对政府或集体办的村卫生室逐步纳入医共体管理。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spacing w:val="9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8.</w:t>
      </w:r>
      <w:r>
        <w:rPr>
          <w:rFonts w:eastAsia="仿宋_GB2312"/>
          <w:color w:val="000000"/>
          <w:kern w:val="0"/>
          <w:sz w:val="32"/>
          <w:szCs w:val="32"/>
        </w:rPr>
        <w:t>65岁以上老年人和孕产妇、0-6岁儿童纳入乡镇健康管理。高血压、糖尿病等慢性病及严重精神障碍患者得到规范化管理。</w:t>
      </w:r>
      <w:r>
        <w:rPr>
          <w:rFonts w:eastAsia="仿宋_GB2312"/>
          <w:color w:val="000000"/>
          <w:spacing w:val="9"/>
          <w:kern w:val="0"/>
          <w:sz w:val="32"/>
          <w:szCs w:val="32"/>
        </w:rPr>
        <w:t>养老服务设施完善，高龄、失能、独居等困难老年人纳入定期巡访。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完善健康保障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9.</w:t>
      </w:r>
      <w:r>
        <w:rPr>
          <w:rFonts w:eastAsia="仿宋_GB2312"/>
          <w:color w:val="000000"/>
          <w:kern w:val="0"/>
          <w:sz w:val="32"/>
          <w:szCs w:val="32"/>
        </w:rPr>
        <w:t>落实健康建设经费保障。根据村健康建设需要和结果导向的投入机制要求，合理安排和统筹各类资金，确保村健康建设各项工作顺利开展。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10.</w:t>
      </w:r>
      <w:r>
        <w:rPr>
          <w:rFonts w:eastAsia="仿宋_GB2312"/>
          <w:color w:val="000000"/>
          <w:kern w:val="0"/>
          <w:sz w:val="32"/>
          <w:szCs w:val="32"/>
        </w:rPr>
        <w:t>辖区内食品加工、经营单位和餐饮单位、食堂等符合食品安全管理要求。100人以上的农村集体聚餐活动应进行备案并进行指导。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建设健康环境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11.</w:t>
      </w:r>
      <w:r>
        <w:rPr>
          <w:rFonts w:eastAsia="仿宋_GB2312"/>
          <w:color w:val="000000"/>
          <w:kern w:val="0"/>
          <w:sz w:val="32"/>
          <w:szCs w:val="32"/>
        </w:rPr>
        <w:t>垃圾分类收集，生活垃圾日产日清，建筑垃圾规范管理。农药废弃包装物回收率达到90%。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12.</w:t>
      </w:r>
      <w:r>
        <w:rPr>
          <w:rFonts w:eastAsia="仿宋_GB2312"/>
          <w:color w:val="000000"/>
          <w:kern w:val="0"/>
          <w:sz w:val="32"/>
          <w:szCs w:val="32"/>
        </w:rPr>
        <w:t>定期组织村民清理垃圾、整理堆积物、清除积水等（每年不少于四次），有效控制四害密度。农村生活污水得到有效治理，应接农户生活污水接户率不低于75%，无污水直排现象。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13.</w:t>
      </w:r>
      <w:r>
        <w:rPr>
          <w:rFonts w:eastAsia="仿宋_GB2312"/>
          <w:color w:val="000000"/>
          <w:kern w:val="0"/>
          <w:sz w:val="32"/>
          <w:szCs w:val="32"/>
        </w:rPr>
        <w:t>推进健康细胞与支持性环境建设。推进健康单位、健康家庭等建设。至少建成1处健康步道、健康小屋（体验馆）等健康支持性环境。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推进健康治理</w:t>
      </w:r>
    </w:p>
    <w:p>
      <w:pPr>
        <w:spacing w:line="660" w:lineRule="exact"/>
        <w:ind w:firstLine="640" w:firstLineChars="200"/>
      </w:pPr>
      <w:r>
        <w:rPr>
          <w:rFonts w:hint="eastAsia" w:eastAsia="仿宋_GB2312"/>
          <w:color w:val="000000"/>
          <w:kern w:val="0"/>
          <w:sz w:val="32"/>
          <w:szCs w:val="32"/>
        </w:rPr>
        <w:t>14.</w:t>
      </w:r>
      <w:r>
        <w:rPr>
          <w:rFonts w:eastAsia="仿宋_GB2312"/>
          <w:color w:val="000000"/>
          <w:kern w:val="0"/>
          <w:sz w:val="32"/>
          <w:szCs w:val="32"/>
        </w:rPr>
        <w:t>贯彻“将健康融入所有政策”理念，将健康村建设纳入村重点工作。将文明健康生活方式纳入村规民约，建立健康村自评制度，依据年度评价情况，落实有效的干预措施。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7914"/>
    <w:rsid w:val="780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2020-12-31T03:50:00Z</dcterms:created>
  <dc:creator>admin</dc:creator>
  <cp:lastModifiedBy>admin</cp:lastModifiedBy>
  <dcterms:modified xsi:type="dcterms:W3CDTF">2020-12-31T03:51:41Z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