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</w:rPr>
      </w:pPr>
      <w:r>
        <w:rPr>
          <w:rFonts w:eastAsia="方正小标宋简体"/>
          <w:color w:val="000000"/>
          <w:kern w:val="0"/>
          <w:sz w:val="44"/>
          <w:szCs w:val="44"/>
        </w:rPr>
        <w:t>浙江省健康村建设评分细则</w:t>
      </w: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</w:rPr>
        <w:t>（试行）</w:t>
      </w:r>
    </w:p>
    <w:p>
      <w:pPr>
        <w:spacing w:line="400" w:lineRule="exac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评价对象：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 xml:space="preserve">市 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县（市、区）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乡镇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村</w:t>
      </w:r>
    </w:p>
    <w:p>
      <w:pP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评价单位：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评价时间：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总分：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u w:val="single"/>
        </w:rPr>
        <w:t xml:space="preserve">             </w:t>
      </w:r>
    </w:p>
    <w:tbl>
      <w:tblPr>
        <w:tblStyle w:val="2"/>
        <w:tblW w:w="145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145"/>
        <w:gridCol w:w="1431"/>
        <w:gridCol w:w="3066"/>
        <w:gridCol w:w="607"/>
        <w:gridCol w:w="5761"/>
        <w:gridCol w:w="142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114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一级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指标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二级指标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57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评分要求和方法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评价结果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4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一、基本条件（12分）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1.省卫生村创建成果得到有效巩固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获得省卫生村命名，并有效巩固省卫生村创建成果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kern w:val="0"/>
                <w:szCs w:val="21"/>
                <w:highlight w:val="yellow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-</w:t>
            </w:r>
          </w:p>
        </w:tc>
        <w:tc>
          <w:tcPr>
            <w:tcW w:w="5761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省卫生乡镇复审中巩固工作不力、复审未能通过，未能被确认为省卫生村的，视为省卫生村创建成果未有效巩固。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2" w:type="dxa"/>
          </w:tcPr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2.无重大危害健康事件发生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无重大危害健康事件发生，包括重大环境事件、重大食品药品和农产品安全事件、重大公共卫生安全事件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Cs w:val="21"/>
                <w:highlight w:val="yellow"/>
              </w:rPr>
            </w:pPr>
            <w:r>
              <w:rPr>
                <w:rFonts w:eastAsia="仿宋_GB2312"/>
                <w:kern w:val="0"/>
                <w:szCs w:val="21"/>
              </w:rPr>
              <w:t>-</w:t>
            </w:r>
          </w:p>
        </w:tc>
        <w:tc>
          <w:tcPr>
            <w:tcW w:w="5761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近2年有重大危害健康事件发生的，视为健康村评价不通过。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2" w:type="dxa"/>
          </w:tcPr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3.开展健康家庭建设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90%以上的家庭开展健康家庭建设，其中符合省级健康家庭建设标准的达到30%以上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12</w:t>
            </w:r>
          </w:p>
        </w:tc>
        <w:tc>
          <w:tcPr>
            <w:tcW w:w="5761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符合省健康家庭建设标准比例达到10%得3分，建设比例达20%得6分，建设比例达30%以上得12分。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2" w:type="dxa"/>
          </w:tcPr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45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二、普及健康生活（22分）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4.开展健康教育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结合实际开展健康教育活动，开展健康素养进文化礼堂活动。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8</w:t>
            </w:r>
          </w:p>
        </w:tc>
        <w:tc>
          <w:tcPr>
            <w:tcW w:w="5761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pacing w:val="-9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有利用宣传栏、广播站、新媒体、电子屏、讲座培训、健康教</w:t>
            </w:r>
            <w:r>
              <w:rPr>
                <w:rFonts w:eastAsia="仿宋_GB2312"/>
                <w:spacing w:val="-9"/>
                <w:kern w:val="0"/>
                <w:szCs w:val="21"/>
              </w:rPr>
              <w:t>育活动等至少3类以上方式开展健康知识宣传，少1类扣0.5分。</w:t>
            </w:r>
          </w:p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500人以上常住人口的行政村未开展健康素养进文化礼堂活动的，扣4分；村图书室未开放的扣2分。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2" w:type="dxa"/>
          </w:tcPr>
          <w:p>
            <w:pPr>
              <w:spacing w:line="28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5.促进健康行为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引导村民饮食限盐控油，不吸烟、多运动。推进“公筷公勺”使用、制止餐饮浪费行为，养成文明就餐、节约粮食好习惯。室内公共（活动）场所禁止吸烟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7</w:t>
            </w:r>
          </w:p>
        </w:tc>
        <w:tc>
          <w:tcPr>
            <w:tcW w:w="5761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查看农家乐、家宴中心，无“公筷公勺”、拒绝餐饮浪费、文明就餐等宣传的，每个场所扣0.5分，最多扣2分。未配备“公筷公勺”的每个场所扣1分，最多扣2分。</w:t>
            </w:r>
          </w:p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公共场所、办公场所、老年活动中心、居家养老中心未张贴禁烟标识、抽查发现有人员抽烟、无人劝导的，每1个问题扣1分，最多扣3分。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2" w:type="dxa"/>
          </w:tcPr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6.推进全面健身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建设公共健身场所，体育健身设施能满足群众健身需要。积极组织开展多种形式的文体活动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7</w:t>
            </w:r>
          </w:p>
        </w:tc>
        <w:tc>
          <w:tcPr>
            <w:tcW w:w="5761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健康步道、室内、室外健身场所、老年活动室等每少1类，扣1分。</w:t>
            </w:r>
          </w:p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群众性体育团队不少于3支，每少1支扣0.5分；</w:t>
            </w:r>
          </w:p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拥有等级社会体育指导员不少于2人，每少1人扣0.5分。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2" w:type="dxa"/>
          </w:tcPr>
          <w:p>
            <w:pPr>
              <w:spacing w:line="28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4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三、优化健康服务（15分）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7.</w:t>
            </w:r>
            <w:r>
              <w:rPr>
                <w:rFonts w:eastAsia="仿宋_GB2312"/>
                <w:color w:val="000000"/>
                <w:kern w:val="0"/>
                <w:szCs w:val="21"/>
              </w:rPr>
              <w:t>强化公共卫生服务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按规划设置村级卫生机构，并达到省规范化要求。对政府或集体办的村卫生室（站）逐步纳入县域医共体管理。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576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政府办村卫生室（站）建设未达到省规范化要求，扣3分。</w:t>
            </w:r>
          </w:p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政府或集体办的村卫生室（站）未纳入县域医共体建设，扣3分；纳入县域医共体建设，但未做到一体化管理，每缺1项扣0.5分。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2" w:type="dxa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041" w:hRule="atLeast"/>
          <w:jc w:val="center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8.</w:t>
            </w:r>
            <w:r>
              <w:rPr>
                <w:rFonts w:eastAsia="仿宋_GB2312"/>
                <w:color w:val="000000"/>
                <w:kern w:val="0"/>
                <w:szCs w:val="21"/>
              </w:rPr>
              <w:t>加强重点人群健康服务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65岁以上老年人和孕产妇、0-6岁儿童纳入乡镇健康管理。高血压、糖尿病等慢性病及严重精神障碍患者得到规范化管理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576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65岁及以上老年人、孕产妇、儿童健康管理率未达到当年省定要求的，单个指标每下降1个百分点扣0.1分，扣完为止。</w:t>
            </w:r>
          </w:p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高血压规范管理率、2型糖尿病患者管理人数目标任务完成率未达到当年省定要求的，单个指标每下降1个百分点扣0.1分，扣完为止。</w:t>
            </w:r>
          </w:p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严重精神障碍患者规范管理率、规范服药、面访率、服药患者体检率、危险度评估三级以上患者应急处置率未达到当年省定要求的，单个指标每下降1个百分点扣0.1分，扣完为止；出现严重精神障碍患者肇事肇祸事件，重伤1人扣1分，死亡1人扣1.5分。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2" w:type="dxa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226" w:hRule="atLeast"/>
          <w:jc w:val="center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养老服务设施完善，高龄、失能、独居等困难老年人纳入定期巡访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4</w:t>
            </w:r>
          </w:p>
        </w:tc>
        <w:tc>
          <w:tcPr>
            <w:tcW w:w="576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不具备养老服务设施扣3分。</w:t>
            </w:r>
          </w:p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建立高龄、失能、独居等困难老年人定期巡访制度，并每月开展巡访服务，未制定制度扣0.5分；每月未开展巡访服务扣0.1分，扣完为止。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2" w:type="dxa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4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四、完善健康保障（15分）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9.落实健康建设经费保障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根据村健康建设需要和结果导向的投入机制要求，合理安排和统筹各类资金，确保村健康建设各项工作顺利开展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576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未合理安排资金保障健康村建设工作、发生挤占或挪用健康村建设有关资金的的扣5分。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2" w:type="dxa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10.保障食品药品与饮水安全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辖区内食品加工、经营单位和餐饮单位、食堂等符合食品安全管理要求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6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掌握辖区内餐饮单位基本情况，建立名册并实时更新，无名册扣0.5分，未能及时更新，扣0.5分。</w:t>
            </w:r>
          </w:p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按餐饮服务食品安全操作规范进行操作。存在食品安全问题，每项次扣0.2分，最多扣2分。</w:t>
            </w:r>
          </w:p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入网餐饮单位证照线上公示，打包盒、吸管等符合食品安全要求，有食安封签。建立餐饮食品安全长效监管机制，并按制度开展相关工作。入网餐饮单位线上存在违规问题，每项次扣0.2分，最多扣2分。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2" w:type="dxa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100人以上的农村集体聚餐活动应进行备案并进行指导 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6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按要求开展10桌以上的申报受理、登记、现场指导等工作。按要求运用协管APP开展智慧管理;查看档案，不符合要求的，扣1分。</w:t>
            </w:r>
          </w:p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随机抽查农村厨师，核查备案与指导情况，若虚假，每项次扣0.5分，扣完为止。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82" w:type="dxa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4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五、建设健康环境（26分）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11.垃圾分类处理）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垃圾分类收集，生活垃圾日产日清，建筑垃圾规范管理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76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垃圾分类收集工作无分类举措的，扣1分，无回收网络的，扣1分，无分类收集实绩的，扣2分。</w:t>
            </w:r>
          </w:p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发现有生活垃圾清运不及时、垃圾桶脏污破损、建筑垃圾随意倾倒等现象的，每发现1处，扣0.5分，扣完为止。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农药废弃包装物回收率达到90%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76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未建有农药包装废弃物回收监管机制，扣0.5分；现场检查农田、道路周边、种植大棚等至少5处，发现1处丢弃农药包装废弃物扣0.5分，扣完为止。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12.加强环境治理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定期组织村民定期开展村庄环境整治（每年不少于四次），有效控制四害密度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6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每少1次活动，扣1分。</w:t>
            </w:r>
          </w:p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现场抽查村内生活区道路及村民院落5-10处，发现1处卫生死角或四害孳生，扣0.5分，扣完为止。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农村生活污水得到有效治理，应接农户生活污水接户率不低于75%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76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管控治理农户未实现100%管控、应接农户生活污水接户率未达到 70%以上扣1分；处理设施出水水质委托检测全覆盖，且处理设施出水应全部达标，每有一个处理设施出水不达标扣 0.5，扣完为止；农村生活污水处理设施标准化运维未实现全覆盖，扣1分。</w:t>
            </w:r>
          </w:p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抽查4户农户，发现1户未使用卫生厕所的，扣1分，生活污水未纳管收集处理的，扣0.5分”。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无污水直排现象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76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无污水直排口，生产、生活和经营活动产生的污水，实行截污纳管、统一收集，经处理达标后排放到外环境。每发现1处污水直排现象扣0.5分，扣完为止。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13.推进健康细胞与支持性环境建设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推进健康单位、健康家庭等建设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576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按照建设要求，完成年度健康单位、健康家庭建设目标任务，得4分。</w:t>
            </w:r>
          </w:p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抽查健康家庭建设户4户，发现1户开展不规范的，扣1分，扣完为止。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至少建成1处健康步道、健康小屋（体验馆）等健康支持性环境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576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建成后维护管理不到位的，每发现1处，扣1分，扣完为止；未开展相关健康支持性环境建设的，不得分。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4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六、推进健康治理（10分）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14.完善健康政策和工作制度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280" w:lineRule="exact"/>
              <w:jc w:val="distribute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Cs w:val="21"/>
              </w:rPr>
              <w:t>贯彻“将健康融入所有政策”理念，将健康村建设纳入村重点工作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76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将健康村建设纳入村重点工作的，得3分；未纳入的，不得分。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280" w:lineRule="exact"/>
              <w:jc w:val="distribute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9"/>
                <w:kern w:val="0"/>
                <w:szCs w:val="21"/>
              </w:rPr>
              <w:t>将文明健康生活方式纳入村规民约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76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将文明健康生活方式相关内容，如环境卫生整治、四害防制、垃圾分类等内容纳入村规民约中，得3分；未纳入的，不得分。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建立健康村自评制度，依据年度评价情况，落实有效的干预措施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576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组织村民会议，开展宣传，倡议全体村民参与健康村建设，未开展相关工作，扣1分。</w:t>
            </w:r>
          </w:p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开展农民健康体检、健康环境等相关监测工作。未开展健康监测的，扣1分。</w:t>
            </w:r>
          </w:p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针对影响本村健康因素，落实有效的干预措施。未落实有效干预措施，扣2分。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A660A"/>
    <w:rsid w:val="51FA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2021-08-27T02:01:00Z</dcterms:created>
  <dc:creator>admin</dc:creator>
  <cp:lastModifiedBy>admin</cp:lastModifiedBy>
  <dcterms:modified xsi:type="dcterms:W3CDTF">2021-08-27T02:02:27Z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