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tabs>
          <w:tab w:val="left" w:pos="7513"/>
        </w:tabs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浙江省中医护理优秀人才培养项目结业考核表</w:t>
      </w:r>
    </w:p>
    <w:p>
      <w:pPr>
        <w:tabs>
          <w:tab w:val="left" w:pos="7513"/>
        </w:tabs>
        <w:spacing w:before="156" w:beforeLines="50" w:after="156" w:afterLines="50" w:line="500" w:lineRule="exact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培养对象姓名：</w:t>
      </w:r>
      <w:r>
        <w:rPr>
          <w:rFonts w:eastAsia="黑体"/>
          <w:sz w:val="28"/>
          <w:szCs w:val="28"/>
          <w:u w:val="single"/>
        </w:rPr>
        <w:t xml:space="preserve">               </w:t>
      </w:r>
      <w:r>
        <w:rPr>
          <w:rFonts w:eastAsia="黑体"/>
          <w:sz w:val="28"/>
          <w:szCs w:val="28"/>
        </w:rPr>
        <w:t xml:space="preserve">   工作单位：</w:t>
      </w:r>
      <w:r>
        <w:rPr>
          <w:rFonts w:eastAsia="黑体"/>
          <w:sz w:val="28"/>
          <w:szCs w:val="28"/>
          <w:u w:val="single"/>
        </w:rPr>
        <w:t xml:space="preserve">                                   </w:t>
      </w:r>
      <w:r>
        <w:rPr>
          <w:rFonts w:eastAsia="黑体"/>
          <w:sz w:val="28"/>
          <w:szCs w:val="28"/>
        </w:rPr>
        <w:t xml:space="preserve"> 得分</w:t>
      </w:r>
      <w:r>
        <w:rPr>
          <w:rFonts w:eastAsia="黑体"/>
          <w:sz w:val="28"/>
          <w:szCs w:val="28"/>
          <w:u w:val="single"/>
        </w:rPr>
        <w:t xml:space="preserve">               </w:t>
      </w:r>
    </w:p>
    <w:tbl>
      <w:tblPr>
        <w:tblStyle w:val="3"/>
        <w:tblW w:w="13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692"/>
        <w:gridCol w:w="8912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tblHeader/>
          <w:jc w:val="center"/>
        </w:trPr>
        <w:tc>
          <w:tcPr>
            <w:tcW w:w="1372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考核标准及方法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0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firstLine="1400" w:firstLineChars="5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平时考核  （40分）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平时考核优秀40分；良好32分；合格24分；不合格不得分。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tcBorders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</w:p>
        </w:tc>
        <w:tc>
          <w:tcPr>
            <w:tcW w:w="269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年度考核  （60分）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按每年度考核实际成绩得分。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2" w:type="dxa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理论考核  （100分）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按实际结业理论考核成绩得分。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7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临床能力考核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（50分）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进修或中长期培训（30分）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参加外出进修或中长期培训≥3个月，得30分，每参加1个月得10分，不参加不得分。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临床中医专家跟师学习（15分）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参加跟师学习≥1个月，得15分，每参加10天得5分，不参加不得分。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跟师医案（5分）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撰写跟师医案5份，每份得1分，质量优秀100%得分，良好80%得分，合格60%得分，不合格不得分。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7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科研能力考核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（50）</w:t>
            </w:r>
          </w:p>
        </w:tc>
        <w:tc>
          <w:tcPr>
            <w:tcW w:w="2692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中医护理课题（15分）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主持立项县级及以上中医护理相关课题≥1项得15分，未完成不得分。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发表论文（15分）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以第一作者在二级及以上期刊发表中医相关论文≥1篇得15分；未完成不得分。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top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结业论文(20分)</w:t>
            </w:r>
          </w:p>
        </w:tc>
        <w:tc>
          <w:tcPr>
            <w:tcW w:w="89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以专家盲审评分为准计算。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27ACA"/>
    <w:rsid w:val="4B4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2022-06-15T01:48:00Z</dcterms:created>
  <dc:creator>admin</dc:creator>
  <cp:lastModifiedBy>admin</cp:lastModifiedBy>
  <dcterms:modified xsi:type="dcterms:W3CDTF">2022-06-15T01:48:44Z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