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文鼎小标宋简" w:hAnsi="华文中宋" w:eastAsia="文鼎小标宋简"/>
          <w:sz w:val="44"/>
          <w:szCs w:val="44"/>
        </w:rPr>
      </w:pPr>
      <w:r>
        <w:rPr>
          <w:rFonts w:hint="eastAsia" w:ascii="文鼎小标宋简" w:hAnsi="华文中宋" w:eastAsia="文鼎小标宋简"/>
          <w:sz w:val="44"/>
          <w:szCs w:val="44"/>
        </w:rPr>
        <w:t>学校卫生执法检查表</w:t>
      </w:r>
    </w:p>
    <w:p>
      <w:pPr>
        <w:spacing w:line="300" w:lineRule="exact"/>
        <w:rPr>
          <w:rFonts w:ascii="黑体" w:eastAsia="黑体"/>
          <w:sz w:val="32"/>
          <w:szCs w:val="32"/>
        </w:rPr>
      </w:pPr>
    </w:p>
    <w:p>
      <w:pPr>
        <w:tabs>
          <w:tab w:val="left" w:pos="3615"/>
        </w:tabs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一、执法检查内容（9项46条）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5391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项目</w:t>
            </w:r>
          </w:p>
        </w:tc>
        <w:tc>
          <w:tcPr>
            <w:tcW w:w="5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重点检查内容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检查对象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基本情况</w:t>
            </w: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校内辅助设施（公共浴室、游泳场馆、图书馆、体育馆）设置情况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学校主要供水方式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学生主要饮水方式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卫生机构</w:t>
            </w: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 xml:space="preserve">卫生机构（卫生室、校医院、保健室）设置情况 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卫生室、校医院的医疗机构执业许可证的有效性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卫生专业技术人员或保健教师配备情况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卫生专业技术人员执业资质情况，保健教师聘任情况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突发公共卫生事件管理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传染病疫情及相关突发公共卫生事件的应急预案</w:t>
            </w: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传染病防控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传染病预防控制制度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专人负责疫情报告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传染病疫情报告登记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传染病学生病愈返校医学证明查验记录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有晨检记录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有因病缺勤病因追查与登记记录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有新生入学接种证查验登记记录</w:t>
            </w: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常见病管理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建立学生健康体检档案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每年实施一次学生健康体检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开展学生常见病防治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开展地方病防控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定期（每学期1次）开展健康生活方式、营养和慢性病预防知识教育和宣传活动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生活饮用水卫生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本学期开学前学校饮水水质检测情况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涉水产品有有效卫生许可批件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自建设施集中式供水依法取得卫生许可证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自建设施集中式供水学校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自建设施集中式供水水源卫生防护合格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自建设施集中式供水有水质消毒设施设备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二次供水蓄水池周围无污染源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二次供水学校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二次供水蓄水设施定期（每年一次）清洗、消毒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Cs w:val="21"/>
              </w:rPr>
              <w:t>分散式供水有卫生安全防护设施并对水质进行消毒</w:t>
            </w: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分散式供水学校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本学期开学前学校供水水质检测情况</w:t>
            </w: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二次供水、分散式供水学校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vMerge w:val="restart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配备专（兼）职供水人员，且持有效“健康合格证明”和“卫生培训合格证明”上岗</w:t>
            </w: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除公共供水外的学校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005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教室环境卫生</w:t>
            </w: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教室墙壁和顶棚为白色或浅色，窗户为无色透明玻璃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单侧采光从座位左侧入，双采光主采光窗设在左侧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B05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教室设有窗帘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灯管垂直黑板且为控照式灯具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黑板没有破损、眩光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每间教室至少设有2种不同高低型号的课桌椅、且每人一席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课桌椅型号与学生身高相适宜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设置黑板灯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新装修的教室使用前对室内空气按《室内空气质量标准》进行检测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5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教室设置通气窗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生活环境卫生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保证学生一人一床，且设有厕所、盥洗设施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寄宿制学校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B050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宿舍有通风设施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教学楼每层设厕所，且设有洗手设施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B05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独立设置的厕所与生活饮用水水源相距30米以上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公共场所卫生</w:t>
            </w: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公共浴室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持有有效卫生许可证</w:t>
            </w:r>
          </w:p>
        </w:tc>
        <w:tc>
          <w:tcPr>
            <w:tcW w:w="200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有公共浴室或游泳场馆学校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5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9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游泳场馆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持有有效卫生许可证</w:t>
            </w:r>
          </w:p>
        </w:tc>
        <w:tc>
          <w:tcPr>
            <w:tcW w:w="200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二、卫生监测内容（2项5条）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070"/>
        <w:gridCol w:w="426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</w:t>
            </w:r>
          </w:p>
        </w:tc>
        <w:tc>
          <w:tcPr>
            <w:tcW w:w="533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卫生监测内容</w:t>
            </w:r>
          </w:p>
        </w:tc>
        <w:tc>
          <w:tcPr>
            <w:tcW w:w="215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监测对象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62" w:type="dxa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教学环境卫生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监测</w:t>
            </w:r>
          </w:p>
        </w:tc>
        <w:tc>
          <w:tcPr>
            <w:tcW w:w="533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教室人均面积符合卫生要求</w:t>
            </w:r>
          </w:p>
        </w:tc>
        <w:tc>
          <w:tcPr>
            <w:tcW w:w="2159" w:type="dxa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  <w:jc w:val="center"/>
        </w:trPr>
        <w:tc>
          <w:tcPr>
            <w:tcW w:w="186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33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课桌与课椅型号配套情况</w:t>
            </w:r>
          </w:p>
        </w:tc>
        <w:tc>
          <w:tcPr>
            <w:tcW w:w="215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6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333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教室前排课桌前缘与黑板的距离≥2.0米</w:t>
            </w:r>
          </w:p>
        </w:tc>
        <w:tc>
          <w:tcPr>
            <w:tcW w:w="215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862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B05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教室采光、照明</w:t>
            </w:r>
          </w:p>
        </w:tc>
        <w:tc>
          <w:tcPr>
            <w:tcW w:w="4263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B05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窗地比、课桌面及黑板的维持平均照度及均匀度等符合《中小学校教室采光和照明卫生标准》GB7793-2010要求</w:t>
            </w:r>
          </w:p>
        </w:tc>
        <w:tc>
          <w:tcPr>
            <w:tcW w:w="215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62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生活饮用水监测</w:t>
            </w:r>
          </w:p>
        </w:tc>
        <w:tc>
          <w:tcPr>
            <w:tcW w:w="5333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学校供水末梢水检测</w:t>
            </w:r>
          </w:p>
        </w:tc>
        <w:tc>
          <w:tcPr>
            <w:tcW w:w="2159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除公共供水外的学校</w:t>
            </w:r>
          </w:p>
        </w:tc>
      </w:tr>
    </w:tbl>
    <w:p>
      <w:pPr>
        <w:spacing w:before="156" w:beforeLines="50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/>
        </w:rPr>
        <w:t>备注：</w:t>
      </w:r>
      <w:r>
        <w:rPr>
          <w:rFonts w:hint="eastAsia" w:ascii="仿宋_GB2312" w:hAnsi="仿宋_GB2312" w:eastAsia="仿宋_GB2312" w:cs="仿宋_GB2312"/>
        </w:rPr>
        <w:t>教室采光、照明监测项原则上由当地疾控机构承担，不具备相应检测能力的，可由第三方</w:t>
      </w:r>
    </w:p>
    <w:p>
      <w:pPr>
        <w:ind w:firstLine="630" w:firstLineChars="3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检测机构承担。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MS Mincho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1FD6"/>
    <w:rsid w:val="5CE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2020-07-01T02:25:00Z</dcterms:created>
  <dc:creator>admin</dc:creator>
  <cp:lastModifiedBy>admin</cp:lastModifiedBy>
  <dcterms:modified xsi:type="dcterms:W3CDTF">2020-07-01T02:26:29Z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