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widowControl/>
        <w:adjustRightInd w:val="0"/>
        <w:snapToGrid w:val="0"/>
        <w:spacing w:before="312" w:beforeLines="100" w:after="312" w:afterLines="100"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浙江省2021年卫生监督抽检计划</w:t>
      </w:r>
    </w:p>
    <w:tbl>
      <w:tblPr>
        <w:tblStyle w:val="3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55"/>
        <w:gridCol w:w="3718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tblHeader/>
          <w:jc w:val="center"/>
        </w:trPr>
        <w:tc>
          <w:tcPr>
            <w:tcW w:w="1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  <w:t>对象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  <w:t>范围及数量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学校卫生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中小学校及高校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县、市（区）按国家抽查任务的80%进行检测。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1.教室采光、照明及教室人均面积；</w:t>
            </w:r>
            <w:r>
              <w:rPr>
                <w:rFonts w:eastAsia="仿宋_GB2312"/>
                <w:szCs w:val="21"/>
                <w:shd w:val="clear" w:color="auto" w:fill="FFFFFF"/>
              </w:rPr>
              <w:br w:type="textWrapping"/>
            </w:r>
            <w:r>
              <w:rPr>
                <w:rFonts w:eastAsia="仿宋_GB2312"/>
                <w:szCs w:val="21"/>
                <w:shd w:val="clear" w:color="auto" w:fill="FFFFFF"/>
              </w:rPr>
              <w:t>2.学校自建设施集中式供水和二次供水水质色度、浑浊度、臭和味、肉眼可见物、pH和消毒剂余量。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教室采光和照明检查项目含窗地面积比、采光方向、防眩光措施、装设人工照明、黑板局部照明灯设置、课桌面照度及均匀度、黑板照度及均匀度，按照《中小学校教室采光和照明卫生标准》（GB7793）的规定进行达标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公共场所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游泳场所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县、市（区）按国家抽查任务的100%进行检测。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1.泳池水浑浊度、pH、游离性余氯、尿素、菌落总数、大肠菌群；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2.浸脚池水游离性余氯。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住宿场所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县、市（区）按国家抽查任务的50%进行检测。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1.棉织品外观、细菌总数、大肠菌群、金黄色葡萄球菌、pH；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2.杯具外观、细菌总数、大肠菌群。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沐浴场所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县、市（区）按国家抽查任务的50%进行检测。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1.棉织品外观、细菌总数、大肠菌群、金黄色葡萄球菌、pH；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2.沐浴用水嗜肺军团菌、池水浊度。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美容美发场所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县、市（区）按国家抽查任务的20%进行检测。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1.美容美发工具细菌总数、大肠菌群、金黄色葡萄球菌；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2.棉织品外观、细菌总数、大肠菌群、金黄色葡萄球菌、pH。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其他公共场所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县、市（区）按国家抽查任务的50%进行检测。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室内空气中CO2、甲醛、苯、甲苯、二甲苯。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注：只对6个月内进行过室内大面积装修的场所检测甲醛、苯、甲苯、二甲苯项目。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集中空调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县、市（区）按国家抽查任务完成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hint="eastAsia" w:eastAsia="仿宋_GB2312"/>
                <w:szCs w:val="21"/>
                <w:shd w:val="clear" w:color="auto" w:fill="FFFFFF"/>
              </w:rPr>
              <w:t>1.</w:t>
            </w:r>
            <w:r>
              <w:rPr>
                <w:rFonts w:eastAsia="仿宋_GB2312"/>
                <w:szCs w:val="21"/>
                <w:shd w:val="clear" w:color="auto" w:fill="FFFFFF"/>
              </w:rPr>
              <w:t>风管内表面积尘量、细菌总数、真菌总数；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注：使用无风管集中空调通风系统的，该指标合理缺项；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hint="eastAsia" w:eastAsia="仿宋_GB2312"/>
                <w:szCs w:val="21"/>
                <w:shd w:val="clear" w:color="auto" w:fill="FFFFFF"/>
              </w:rPr>
              <w:t>2.</w:t>
            </w:r>
            <w:r>
              <w:rPr>
                <w:rFonts w:eastAsia="仿宋_GB2312"/>
                <w:szCs w:val="21"/>
                <w:shd w:val="clear" w:color="auto" w:fill="FFFFFF"/>
              </w:rPr>
              <w:t>冷却水中嗜肺军团菌。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注：使用非开放式冷却塔集中空调通风系统的，该指标合理缺项。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生活饮用水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城市集中式供水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县、市（区）按国家抽查任务的100%进行检测。</w:t>
            </w:r>
          </w:p>
        </w:tc>
        <w:tc>
          <w:tcPr>
            <w:tcW w:w="79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出厂水色度、浑浊度、臭和味、肉眼可见物、pH和消毒剂余量。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农村集中式供水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县、市（区）按国家抽查任务的100%进行检测。</w:t>
            </w: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小型集中式供水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</w:t>
            </w:r>
            <w:r>
              <w:rPr>
                <w:rFonts w:eastAsia="仿宋_GB2312"/>
              </w:rPr>
              <w:t>在用小型集中式供水的乡镇数的至少30%，每个乡镇抽查30%的设计日供水100m</w:t>
            </w:r>
            <w:r>
              <w:rPr>
                <w:rFonts w:eastAsia="仿宋_GB2312"/>
                <w:vertAlign w:val="superscript"/>
              </w:rPr>
              <w:t>3</w:t>
            </w:r>
            <w:r>
              <w:rPr>
                <w:rFonts w:eastAsia="仿宋_GB2312"/>
              </w:rPr>
              <w:t>以上水厂。</w:t>
            </w: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二次供水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</w:t>
            </w:r>
            <w:r>
              <w:rPr>
                <w:rFonts w:eastAsia="仿宋_GB2312"/>
              </w:rPr>
              <w:t>10个二次供水设施，不足10个的全部检测。</w:t>
            </w: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涉水产品</w:t>
            </w:r>
          </w:p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输配水设备</w:t>
            </w:r>
          </w:p>
        </w:tc>
        <w:tc>
          <w:tcPr>
            <w:tcW w:w="37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县、市（区）按国家抽查任务完成。</w:t>
            </w:r>
          </w:p>
        </w:tc>
        <w:tc>
          <w:tcPr>
            <w:tcW w:w="79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产品卫生安全性检测。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水处理材料</w:t>
            </w:r>
          </w:p>
        </w:tc>
        <w:tc>
          <w:tcPr>
            <w:tcW w:w="37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化学处理剂</w:t>
            </w:r>
          </w:p>
        </w:tc>
        <w:tc>
          <w:tcPr>
            <w:tcW w:w="37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水质处理器</w:t>
            </w:r>
          </w:p>
        </w:tc>
        <w:tc>
          <w:tcPr>
            <w:tcW w:w="37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进口涉水产品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县、市（区）所有生产企业，每个企业抽查1-2个产品。</w:t>
            </w:r>
          </w:p>
        </w:tc>
        <w:tc>
          <w:tcPr>
            <w:tcW w:w="79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现制现售饮用水自动售水机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地市统筹，抽取1个经营单位，每个单位抽查1-3个应用现场。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出水水质菌落总数、总大肠菌群、色度、浑浊度、臭和味、肉眼可见物、pH、耗氧量等。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餐饮具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出厂餐饮具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县、市（区）每个企业抽查1-2个批次出厂餐饮具。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感官要求，游离性余氯、阴离子合成洗涤剂(e)，大肠菌群、沙门氏菌。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注：仅适用于化学消毒法。使用其他消毒方式的，游离性余氯、阴离子合成洗涤剂两项指标合理缺项。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11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消毒产品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spacing w:val="-6"/>
                <w:szCs w:val="21"/>
                <w:shd w:val="clear" w:color="auto" w:fill="FFFFFF"/>
              </w:rPr>
              <w:t>第一类消毒产品：以消毒剂（</w:t>
            </w:r>
            <w:r>
              <w:rPr>
                <w:rFonts w:hint="eastAsia" w:eastAsia="仿宋_GB2312"/>
                <w:spacing w:val="-6"/>
                <w:szCs w:val="21"/>
                <w:shd w:val="clear" w:color="auto" w:fill="FFFFFF"/>
              </w:rPr>
              <w:t>重点检查</w:t>
            </w:r>
            <w:r>
              <w:rPr>
                <w:rFonts w:eastAsia="仿宋_GB2312"/>
                <w:spacing w:val="-6"/>
                <w:szCs w:val="21"/>
                <w:shd w:val="clear" w:color="auto" w:fill="FFFFFF"/>
              </w:rPr>
              <w:t>含氯消毒剂）、灭菌剂为重点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县、市（区）每家企业抽检1-2个批次产品。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1.消毒剂：有效成分含量检测（不能进行此项检测的做一项抗力最强微生物实验室杀灭试验）、一项抗力最强微生物实验室杀灭试验及稳定性试验；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2.消毒器械：主要杀菌因子强度检测（不能进行此项检测的做一项抗力最强微生物实验室杀灭试验）；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3.灭菌器械：实验室灭菌试验检测，其中压力蒸汽灭菌器、环氧乙烷灭菌器、过氧化氢气体等离子体低温灭菌器用生物指示物进行灭菌效果检测；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4.生物指示物：含菌量检验；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5.灭菌效果化学指示物：按照说明书的灭菌周期进行变色性能检测。</w:t>
            </w:r>
          </w:p>
          <w:p>
            <w:pPr>
              <w:spacing w:line="27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注：检验标准为现行有效版本。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第二类消毒产品：以手消毒剂、物体表面消毒剂（重点检查低温消毒剂）为重点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县、市（区）每家企业抽检1-2个批次产品。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1.医疗器械中低水平消毒剂、空气消毒剂、手消毒剂、物体表面消毒剂、游泳池水消毒剂：空气消毒剂进行有效成分含量检测（不能进行此项检测的做空气现场或模拟现场试验），游泳池水消毒剂进行有效成分含量检测（不能进行此项检测的做大肠杆菌杀灭试验），其他消毒剂进行有效成分含量检测（不能进行此项检测的做一项抗力最强微生物实验室杀灭试验）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2.空气消毒器、紫外线杀菌灯、食具消毒柜、产生化学因子的其他消毒器械和中、低水平消毒器械：空气消毒器做现场或模拟现场试验，紫外线杀菌灯进行紫外线辐照强度检测（不能进行此项检测的做现场或模拟现场试验），食具消毒柜主要进行杀菌因子强度检测（不能进行此项检测的做大肠杆菌杀灭试验），其他消毒器械、中水平和低水平消毒器械进行主要杀菌因子强度或浓度检测（不能进行此项检测的做一项抗力最强微生物实验室杀灭试验）；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3.化学指示物：变色性能检验。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注：检验标准为现行有效版本。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抗（抑）菌制剂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地市统筹，抽取不少于5个膏、霜剂型。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禁用物质氯倍他索丙酸酯检验。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注：参照《化妆品安全技术规范》（2015年版）。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第三类消毒产品：以妇女经期卫生用品、婴幼儿用品、成人排泄物用品为重点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县、市（区）抽检1-2个批次产品</w:t>
            </w:r>
            <w:r>
              <w:rPr>
                <w:rFonts w:eastAsia="仿宋_GB2312"/>
                <w:sz w:val="32"/>
              </w:rPr>
              <w:t>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产品微生物指标检验。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注：检验标准为现行有效版本。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职业卫生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用人单位</w:t>
            </w:r>
          </w:p>
        </w:tc>
        <w:tc>
          <w:tcPr>
            <w:tcW w:w="37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县、市（区）落实日常监管和行政执法“一起跑”，由疾控机构负责重点用人单位全覆盖监测工作，监督机构进行结果运用。</w:t>
            </w:r>
          </w:p>
        </w:tc>
        <w:tc>
          <w:tcPr>
            <w:tcW w:w="792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粉尘、毒物和物理因素等职业病危害因素。</w:t>
            </w:r>
          </w:p>
          <w:p>
            <w:pPr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注：按照《工作场所空气中有害物质监测的采样规范》 （GBZ159）、《工作场所空气中粉尘测定》（GBZ/T 192）、《工作场所空气有毒物质测定方法》（GBZ/T 160、 GBZ/T 300） 等国家标准进行识别、采样、检测和评价。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40" w:right="1800" w:bottom="1440" w:left="1800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3CBB"/>
    <w:rsid w:val="7DE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2021-06-01T07:06:00Z</dcterms:created>
  <dc:creator>admin</dc:creator>
  <cp:lastModifiedBy>admin</cp:lastModifiedBy>
  <dcterms:modified xsi:type="dcterms:W3CDTF">2021-06-01T07:07:43Z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