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outlineLvl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312" w:beforeLines="100" w:after="312" w:afterLines="100"/>
        <w:jc w:val="center"/>
        <w:outlineLvl w:val="0"/>
        <w:rPr>
          <w:rFonts w:hint="eastAsia" w:ascii="文鼎小标宋简" w:hAnsi="文鼎小标宋简" w:eastAsia="文鼎小标宋简" w:cs="文鼎小标宋简"/>
          <w:bCs/>
          <w:sz w:val="44"/>
          <w:szCs w:val="44"/>
        </w:rPr>
      </w:pPr>
      <w:r>
        <w:rPr>
          <w:rFonts w:hint="eastAsia" w:ascii="文鼎小标宋简" w:hAnsi="文鼎小标宋简" w:eastAsia="文鼎小标宋简" w:cs="文鼎小标宋简"/>
          <w:bCs/>
          <w:sz w:val="44"/>
          <w:szCs w:val="44"/>
        </w:rPr>
        <w:t>浙江省尘肺病防治攻坚行动工作目标和责任分解一览表</w:t>
      </w:r>
    </w:p>
    <w:tbl>
      <w:tblPr>
        <w:tblStyle w:val="4"/>
        <w:tblW w:w="14768" w:type="dxa"/>
        <w:jc w:val="center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670"/>
        <w:gridCol w:w="8431"/>
        <w:gridCol w:w="2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重点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任务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行动目标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指标要求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after="156" w:afterLines="50" w:line="50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一、粉尘危害专项治理行动。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摸清用人单位粉尘危害基本情况；非煤矿山、冶金、建材等尘肺病易发高发行业专项治理取得明显成效。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1．完成粉尘危害专项调查工作。</w:t>
            </w:r>
          </w:p>
          <w:p>
            <w:p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2．纳入治理范围的用人单位粉尘危害申报率达到95%以上，工作场所粉尘浓度定期检测率达到95%以上,接尘劳动者在岗期间职业健康检查率达到95%以上，主要负责人、职业健康管理人员和劳动者培训率达到95%以上。</w:t>
            </w:r>
          </w:p>
          <w:p>
            <w:p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3．不具备安全生产条件、不满足环保要求的矿山、水泥、冶金、陶瓷、耐火材料、石材加工等用人单位大幅减少。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省卫生健康委、省生态环境厅、省应急管理厅按职责分工负责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after="156" w:afterLines="50" w:line="50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二、尘肺病患者救治救助行动。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摸清报告职业性尘肺病患者的健康状况；尘肺病患者的工伤保险保障和救治救助水平明显提高。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将《职业病分类和目录》中的13种尘肺病全部纳入重点职业病监测内容。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开展尘肺病主动监测与筛查试点工作、尘肺病患者随访和回顾性调查。摸清报告职业性尘肺病患者的健康状况。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尘肺病患者工伤保险和救治救助水平明显提高，稳步提高被归因诊断为职业性尘肺病患者的保障水平。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为诊断为职业性尘肺病的患者提供优质法律服务。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省卫生健康委、省人力社保厅、省财政厅、省司法厅、省国资委、省民政厅、省医保局按职责分工负责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after="156" w:afterLines="50" w:line="48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三、职业健康监管执法行动。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职业健康监管队伍和执法装备得到加强；职业健康监管执法力度加大，职业健康违法违规行为明显减少。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1．完善职业健康监管执法装备配备标准。职业健康监督执法能力有较大提高，基本建成职业健康监督执法网络。</w:t>
            </w:r>
          </w:p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2．矿山、冶金、建材等重点行业领域新增建设项目职业病防护设施“三同时”实施率达到95%以上。</w:t>
            </w:r>
          </w:p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3．矿山、冶金、建材等重点行业领域监督检查覆盖率达到95%以上，职业健康违法违规行为大幅减少。</w:t>
            </w:r>
          </w:p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4．职业健康监管执法人员培训率达到100%。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省卫生健康委、省发展改革委、省经信厅、省财政厅按职责分工负责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after="156" w:afterLines="50" w:line="48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四、用人单位主体责任落实行动。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用人单位尘肺病防治主体责任得到进一步落实，尘肺病防治管理水平得到提升。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1．重点行业企业普遍依法与劳动者签订劳动合同。</w:t>
            </w:r>
          </w:p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2．劳动者依法参加工伤保险覆盖率达到80%以上。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省卫生健康委、省人力社保厅、省总工会按职责分工负责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after="156" w:afterLines="50" w:line="48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五、防治技术能力提升行动。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职业病防治技术支撑能力有较大提升；基层尘肺病诊治康复能力得到加强，实现“地市能诊断，县区能体检，镇街有康复站，村居有康复点”的目标。</w:t>
            </w:r>
          </w:p>
        </w:tc>
        <w:tc>
          <w:tcPr>
            <w:tcW w:w="8431" w:type="dxa"/>
            <w:noWrap w:val="0"/>
            <w:vAlign w:val="center"/>
          </w:tcPr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1．建立完善省、市、县三级职业病防治技术支撑机构。试点创建和命名一批职业病防治技术支撑机构。</w:t>
            </w:r>
          </w:p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2．每个地市至少确定1家医疗卫生机构承担职业病诊断。每个县区至少确定1家医疗卫生机构承担职业健康检查。</w:t>
            </w:r>
          </w:p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3．在常住尘肺病患者达到100人的乡镇，依托乡镇卫生院或社区卫生服务中心试点建立尘肺病康复站。</w:t>
            </w:r>
          </w:p>
          <w:p>
            <w:pPr>
              <w:spacing w:line="48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pacing w:val="-9"/>
                <w:sz w:val="28"/>
                <w:szCs w:val="28"/>
              </w:rPr>
              <w:t>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</w:rPr>
              <w:t>常住尘肺病患者达到10人的村居，依托村卫生室试点建立尘肺病康复点。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500" w:lineRule="exact"/>
              <w:ind w:right="153" w:rightChars="73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省卫生健康委、省发展改革委按职责分工负责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MS Mincho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1CFFF8"/>
    <w:multiLevelType w:val="singleLevel"/>
    <w:tmpl w:val="A81CFF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B0"/>
    <w:rsid w:val="00B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2020-05-13T07:03:00Z</dcterms:created>
  <dc:creator>admin</dc:creator>
  <cp:lastModifiedBy>admin</cp:lastModifiedBy>
  <dcterms:modified xsi:type="dcterms:W3CDTF">2020-05-13T07:03:36Z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