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5892"/>
        <w:gridCol w:w="1587"/>
        <w:gridCol w:w="13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9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spacing w:line="400" w:lineRule="exact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587" w:type="dxa"/>
            <w:noWrap w:val="0"/>
            <w:vAlign w:val="bottom"/>
          </w:tcPr>
          <w:p>
            <w:pPr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bottom"/>
          </w:tcPr>
          <w:p>
            <w:pPr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946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before="312" w:beforeLines="100" w:after="312" w:afterLines="100"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文鼎小标宋简" w:hAnsi="文鼎小标宋简" w:eastAsia="文鼎小标宋简" w:cs="文鼎小标宋简"/>
                <w:bCs/>
                <w:color w:val="000000"/>
                <w:kern w:val="0"/>
                <w:sz w:val="44"/>
                <w:szCs w:val="44"/>
                <w:lang w:bidi="ar"/>
              </w:rPr>
              <w:t>医疗机构废弃物专项整治主要指标情况表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6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市：                                          填报人及电话：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工作指标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摸底调查数据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专项整治后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数据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医疗机构医疗废物</w:t>
            </w: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lang w:bidi="ar"/>
              </w:rPr>
              <w:t>实行分类收集合格率（%）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医疗废物使用专用包装物及容器合格率（%）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未在院内丢弃或非贮存地点堆放医疗废物合格率（%）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医疗废物暂时贮存设施建立合格率（%）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医疗废物交接运送、暂存及处置登记完整合格率（%）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医疗废物交由有资质的单位集中处置率（%）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医疗机构执行转移联单制度的比例（%）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医疗废物集中处置单位数（个）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distribute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lang w:bidi="ar"/>
              </w:rPr>
              <w:t>医疗废物集中处置单位上门收取医疗废物的平均时长（天）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医疗废物集中处置能力（吨/天）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医疗废物实际集中处置量的平均值（吨/天）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distribute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lang w:bidi="ar"/>
              </w:rPr>
              <w:t>集中处置的医疗废物量占辖区医疗废物产生总量的比例（%）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医疗废物集中处置单位执行转移联单制度的比例（%）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生活垃圾处置单位上门收取生活垃圾的平均时长（天）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输液瓶袋回收企业上门收取输液瓶袋的平均时长（天）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输液瓶袋回收企业数（个）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输液瓶袋利用企业数（个）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输液瓶袋回收利用一体化企业数（个）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46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填表说明：1.各指标的统计范围为全市。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2.指标1-7由卫生健康部门组织填写。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3.指标8-13由生态环境部门牵头填写，卫生健康部门配合。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4.指标14由住房城乡建设（环卫）部门牵头填写，卫生健康部门配合。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5.指标15-16由商务部门牵头填写，卫生健康部门配合。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6.指标17由工业和信息化部门牵头填写，卫生健康部门配合。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7.指标18由商务、工业和信息化部门共同填写，卫生健康部门配合。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8.“摸底调查数据”的时间节点是2020年5月底；“专项整治后数据”的时间节点是2020年11月底。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81208"/>
    <w:rsid w:val="34D81208"/>
    <w:rsid w:val="540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5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2020-12-07T09:08:00Z</dcterms:created>
  <dc:creator>admin</dc:creator>
  <cp:lastModifiedBy>admin</cp:lastModifiedBy>
  <dcterms:modified xsi:type="dcterms:W3CDTF">2020-12-07T09:09:50Z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