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2022年浙江省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</w:rPr>
        <w:t>健康企业建设优秀案例名单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（企业建设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</w:rPr>
        <w:t>篇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）</w:t>
      </w:r>
    </w:p>
    <w:tbl>
      <w:tblPr>
        <w:tblStyle w:val="5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3291"/>
        <w:gridCol w:w="3627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06" w:type="dxa"/>
            <w:noWrap w:val="0"/>
            <w:vAlign w:val="top"/>
          </w:tcPr>
          <w:p>
            <w:pPr>
              <w:spacing w:before="0" w:line="340" w:lineRule="exact"/>
              <w:jc w:val="center"/>
              <w:rPr>
                <w:rFonts w:hint="default" w:ascii="Times New Roman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291" w:type="dxa"/>
            <w:noWrap w:val="0"/>
            <w:vAlign w:val="top"/>
          </w:tcPr>
          <w:p>
            <w:pPr>
              <w:spacing w:before="0" w:line="340" w:lineRule="exact"/>
              <w:jc w:val="center"/>
              <w:rPr>
                <w:rFonts w:hint="default" w:ascii="Times New Roman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案例名称</w:t>
            </w:r>
          </w:p>
        </w:tc>
        <w:tc>
          <w:tcPr>
            <w:tcW w:w="3627" w:type="dxa"/>
            <w:noWrap w:val="0"/>
            <w:vAlign w:val="top"/>
          </w:tcPr>
          <w:p>
            <w:pPr>
              <w:spacing w:before="0" w:line="340" w:lineRule="exact"/>
              <w:jc w:val="center"/>
              <w:rPr>
                <w:rFonts w:hint="default" w:ascii="Times New Roman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spacing w:before="0" w:line="340" w:lineRule="exact"/>
              <w:jc w:val="center"/>
              <w:rPr>
                <w:rFonts w:hint="default" w:ascii="Times New Roman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noWrap w:val="0"/>
            <w:vAlign w:val="top"/>
          </w:tcPr>
          <w:p>
            <w:pPr>
              <w:spacing w:before="0" w:line="34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铂金楼宇的健康新趋势</w:t>
            </w:r>
          </w:p>
        </w:tc>
        <w:tc>
          <w:tcPr>
            <w:tcW w:w="3627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杭州坤和中心经营管理有限公司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noWrap w:val="0"/>
            <w:vAlign w:val="top"/>
          </w:tcPr>
          <w:p>
            <w:pPr>
              <w:spacing w:before="0" w:line="34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打造有温度的健康企业，企镇融合发展共建“美好家园”</w:t>
            </w:r>
          </w:p>
        </w:tc>
        <w:tc>
          <w:tcPr>
            <w:tcW w:w="3627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浙江荣盛控股集团有限公司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noWrap w:val="0"/>
            <w:vAlign w:val="top"/>
          </w:tcPr>
          <w:p>
            <w:pPr>
              <w:spacing w:before="0" w:line="34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九阳，悦享健康</w:t>
            </w:r>
          </w:p>
        </w:tc>
        <w:tc>
          <w:tcPr>
            <w:tcW w:w="3627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杭州九阳小家电有限公司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noWrap w:val="0"/>
            <w:vAlign w:val="top"/>
          </w:tcPr>
          <w:p>
            <w:pPr>
              <w:spacing w:before="0" w:line="34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全员多维度建设“健康企业”保护职工身心健康和谐发展</w:t>
            </w:r>
          </w:p>
        </w:tc>
        <w:tc>
          <w:tcPr>
            <w:tcW w:w="3627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长兴吉利汽车部件有限公司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湖州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noWrap w:val="0"/>
            <w:vAlign w:val="top"/>
          </w:tcPr>
          <w:p>
            <w:pPr>
              <w:spacing w:before="0" w:line="34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以人为本为员工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真抓实干创健康</w:t>
            </w:r>
          </w:p>
        </w:tc>
        <w:tc>
          <w:tcPr>
            <w:tcW w:w="3627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中钢新型材料股份有限公司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湖州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noWrap w:val="0"/>
            <w:vAlign w:val="top"/>
          </w:tcPr>
          <w:p>
            <w:pPr>
              <w:spacing w:before="0" w:line="34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凝心聚力促发展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砥砺前行保健康</w:t>
            </w:r>
          </w:p>
        </w:tc>
        <w:tc>
          <w:tcPr>
            <w:tcW w:w="3627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浙江安吉惠业家具有限公司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湖州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noWrap w:val="0"/>
            <w:vAlign w:val="top"/>
          </w:tcPr>
          <w:p>
            <w:pPr>
              <w:spacing w:before="0" w:line="34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立足多元化创建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促进职工身心健康</w:t>
            </w:r>
          </w:p>
        </w:tc>
        <w:tc>
          <w:tcPr>
            <w:tcW w:w="3627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福莱特玻璃集团股份有限公司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嘉兴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noWrap w:val="0"/>
            <w:vAlign w:val="top"/>
          </w:tcPr>
          <w:p>
            <w:pPr>
              <w:spacing w:before="0" w:line="34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守护职场员工身心健康</w:t>
            </w:r>
          </w:p>
        </w:tc>
        <w:tc>
          <w:tcPr>
            <w:tcW w:w="3627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安正时尚集团股份有限公司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嘉兴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noWrap w:val="0"/>
            <w:vAlign w:val="top"/>
          </w:tcPr>
          <w:p>
            <w:pPr>
              <w:spacing w:before="0" w:line="34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护职工健康幸福，促企业和谐发展</w:t>
            </w:r>
          </w:p>
        </w:tc>
        <w:tc>
          <w:tcPr>
            <w:tcW w:w="3627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浙江新宝汽车电器有限公司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绍兴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noWrap w:val="0"/>
            <w:vAlign w:val="top"/>
          </w:tcPr>
          <w:p>
            <w:pPr>
              <w:spacing w:before="0" w:line="34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多措并举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推进企业健康发展</w:t>
            </w:r>
          </w:p>
        </w:tc>
        <w:tc>
          <w:tcPr>
            <w:tcW w:w="3627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浙江震元制药有限公司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绍兴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noWrap w:val="0"/>
            <w:vAlign w:val="top"/>
          </w:tcPr>
          <w:p>
            <w:pPr>
              <w:spacing w:before="0" w:line="34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创新健康理念 注重人文关怀——以“快乐”文化打造健康企业</w:t>
            </w:r>
          </w:p>
        </w:tc>
        <w:tc>
          <w:tcPr>
            <w:tcW w:w="3627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普洛药业股份有限公司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noWrap w:val="0"/>
            <w:vAlign w:val="top"/>
          </w:tcPr>
          <w:p>
            <w:pPr>
              <w:spacing w:before="0" w:line="34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多措并举，推进公司职业病防治工作</w:t>
            </w:r>
          </w:p>
        </w:tc>
        <w:tc>
          <w:tcPr>
            <w:tcW w:w="3627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国网浙江省电力有限公司常山县供电公司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衢州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noWrap w:val="0"/>
            <w:vAlign w:val="top"/>
          </w:tcPr>
          <w:p>
            <w:pPr>
              <w:spacing w:before="0" w:line="34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以技术创新为主导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以绿色发展为方向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引领修船行业破解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健康发展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难题</w:t>
            </w:r>
          </w:p>
        </w:tc>
        <w:tc>
          <w:tcPr>
            <w:tcW w:w="3627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万邦船舶</w:t>
            </w:r>
            <w:r>
              <w:rPr>
                <w:rFonts w:hint="eastAsia" w:eastAsia="仿宋_GB2312" w:cs="Times New Roman"/>
                <w:spacing w:val="0"/>
                <w:sz w:val="24"/>
                <w:szCs w:val="24"/>
                <w:lang w:eastAsia="zh-CN"/>
              </w:rPr>
              <w:t>重工（舟山）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有限公司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舟山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noWrap w:val="0"/>
            <w:vAlign w:val="top"/>
          </w:tcPr>
          <w:p>
            <w:pPr>
              <w:spacing w:before="0" w:line="34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以人为本，构建企业“家文化” 立足健康，共享多元化生活</w:t>
            </w:r>
          </w:p>
        </w:tc>
        <w:tc>
          <w:tcPr>
            <w:tcW w:w="3627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拓卡奔马机电科技有限公司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台州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noWrap w:val="0"/>
            <w:vAlign w:val="top"/>
          </w:tcPr>
          <w:p>
            <w:pPr>
              <w:spacing w:before="0" w:line="34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绿色健康生产，共建幸福“壹家人”</w:t>
            </w:r>
          </w:p>
        </w:tc>
        <w:tc>
          <w:tcPr>
            <w:tcW w:w="3627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浙江闽锋化学有限公司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before="0" w:line="340" w:lineRule="exact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丽水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40" w:left="1588" w:header="851" w:footer="136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both"/>
    </w:pPr>
    <w:r>
      <w:rPr>
        <w:rStyle w:val="7"/>
        <w:rFonts w:hint="eastAsia" w:ascii="仿宋_GB2312" w:hAnsi="仿宋_GB2312" w:eastAsia="仿宋_GB2312" w:cs="仿宋_GB2312"/>
        <w:sz w:val="28"/>
        <w:szCs w:val="28"/>
        <w:lang w:eastAsia="zh-CN"/>
      </w:rPr>
      <w:t>　　　　　　　　　　　　　　</w:t>
    </w:r>
    <w:r>
      <w:rPr>
        <w:rStyle w:val="7"/>
        <w:rFonts w:hint="eastAsia" w:ascii="仿宋_GB2312" w:hAnsi="仿宋_GB2312" w:eastAsia="仿宋_GB2312" w:cs="仿宋_GB2312"/>
        <w:sz w:val="28"/>
        <w:szCs w:val="28"/>
        <w:lang w:val="en-US" w:eastAsia="zh-CN"/>
      </w:rPr>
      <w:t xml:space="preserve">                            </w:t>
    </w:r>
    <w:r>
      <w:rPr>
        <w:rStyle w:val="7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7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7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7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7"/>
        <w:rFonts w:ascii="宋体"/>
        <w:sz w:val="28"/>
        <w:szCs w:val="28"/>
      </w:rPr>
      <w:t xml:space="preserve"> </w:t>
    </w:r>
    <w:r>
      <w:rPr>
        <w:rStyle w:val="7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both"/>
    </w:pPr>
    <w:r>
      <w:rPr>
        <w:rStyle w:val="7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7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7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7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7"/>
        <w:rFonts w:ascii="宋体"/>
        <w:sz w:val="28"/>
        <w:szCs w:val="28"/>
      </w:rPr>
      <w:t xml:space="preserve"> </w:t>
    </w:r>
    <w:r>
      <w:rPr>
        <w:rStyle w:val="7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A5AA9"/>
    <w:rsid w:val="260A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2023-05-19T04:31:00Z</dcterms:created>
  <dc:creator>admin</dc:creator>
  <cp:lastModifiedBy>admin</cp:lastModifiedBy>
  <dcterms:modified xsi:type="dcterms:W3CDTF">2023-05-19T04:32:20Z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