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left"/>
        <w:textAlignment w:val="auto"/>
        <w:rPr>
          <w:rFonts w:hint="eastAsia" w:ascii="黑体" w:hAnsi="黑体" w:eastAsia="黑体" w:cs="黑体"/>
          <w:i w:val="0"/>
          <w:iCs w:val="0"/>
          <w:caps w:val="0"/>
          <w:color w:val="000000"/>
          <w:spacing w:val="0"/>
          <w:sz w:val="32"/>
          <w:szCs w:val="32"/>
          <w:shd w:val="clear" w:color="auto" w:fill="FFFFFF"/>
          <w:lang w:val="en-US" w:eastAsia="zh-CN"/>
        </w:rPr>
      </w:pPr>
      <w:r>
        <w:rPr>
          <w:rFonts w:hint="eastAsia" w:ascii="黑体" w:hAnsi="黑体" w:eastAsia="黑体" w:cs="黑体"/>
          <w:sz w:val="32"/>
          <w:szCs w:val="32"/>
          <w:lang w:val="en-US" w:eastAsia="zh-CN"/>
        </w:rPr>
        <w:t>附件2</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卫生管理研究专业考试预报名摸底信息表</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tbl>
      <w:tblPr>
        <w:tblStyle w:val="5"/>
        <w:tblW w:w="13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635"/>
        <w:gridCol w:w="885"/>
        <w:gridCol w:w="927"/>
        <w:gridCol w:w="1354"/>
        <w:gridCol w:w="984"/>
        <w:gridCol w:w="1195"/>
        <w:gridCol w:w="1390"/>
        <w:gridCol w:w="1531"/>
        <w:gridCol w:w="11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6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序号</w:t>
            </w:r>
          </w:p>
        </w:tc>
        <w:tc>
          <w:tcPr>
            <w:tcW w:w="2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单位</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姓名</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出生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年月</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所在部门及行政职务</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2"/>
                <w:sz w:val="21"/>
                <w:szCs w:val="21"/>
                <w:vertAlign w:val="baseline"/>
                <w:lang w:val="en-US" w:eastAsia="zh-CN" w:bidi="ar-SA"/>
              </w:rPr>
            </w:pPr>
            <w:r>
              <w:rPr>
                <w:rFonts w:hint="eastAsia" w:ascii="黑体" w:hAnsi="黑体" w:eastAsia="黑体" w:cs="黑体"/>
                <w:b w:val="0"/>
                <w:bCs w:val="0"/>
                <w:sz w:val="21"/>
                <w:szCs w:val="21"/>
                <w:vertAlign w:val="baseline"/>
                <w:lang w:val="en-US" w:eastAsia="zh-CN"/>
              </w:rPr>
              <w:t>最高学历/学位</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2"/>
                <w:sz w:val="21"/>
                <w:szCs w:val="21"/>
                <w:vertAlign w:val="baseline"/>
                <w:lang w:val="en-US" w:eastAsia="zh-CN" w:bidi="ar-SA"/>
              </w:rPr>
            </w:pPr>
            <w:r>
              <w:rPr>
                <w:rFonts w:hint="eastAsia" w:ascii="黑体" w:hAnsi="黑体" w:eastAsia="黑体" w:cs="黑体"/>
                <w:b w:val="0"/>
                <w:bCs w:val="0"/>
                <w:sz w:val="21"/>
                <w:szCs w:val="21"/>
                <w:vertAlign w:val="baseline"/>
                <w:lang w:val="en-US" w:eastAsia="zh-CN"/>
              </w:rPr>
              <w:t>所学专业</w:t>
            </w:r>
          </w:p>
        </w:tc>
        <w:tc>
          <w:tcPr>
            <w:tcW w:w="13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2"/>
                <w:sz w:val="21"/>
                <w:szCs w:val="21"/>
                <w:vertAlign w:val="baseline"/>
                <w:lang w:val="en-US" w:eastAsia="zh-CN" w:bidi="ar-SA"/>
              </w:rPr>
            </w:pPr>
            <w:r>
              <w:rPr>
                <w:rFonts w:hint="eastAsia" w:ascii="黑体" w:hAnsi="黑体" w:eastAsia="黑体" w:cs="黑体"/>
                <w:b w:val="0"/>
                <w:bCs w:val="0"/>
                <w:sz w:val="21"/>
                <w:szCs w:val="21"/>
                <w:vertAlign w:val="baseline"/>
                <w:lang w:val="en-US" w:eastAsia="zh-CN"/>
              </w:rPr>
              <w:t>参加工作时间</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现聘任专业技术职务或管理职级</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1"/>
                <w:szCs w:val="21"/>
                <w:vertAlign w:val="baseline"/>
                <w:lang w:val="en-US" w:eastAsia="zh-CN"/>
              </w:rPr>
            </w:pPr>
            <w:r>
              <w:rPr>
                <w:rFonts w:hint="eastAsia" w:ascii="黑体" w:hAnsi="黑体" w:eastAsia="黑体" w:cs="黑体"/>
                <w:b w:val="0"/>
                <w:bCs w:val="0"/>
                <w:sz w:val="21"/>
                <w:szCs w:val="21"/>
                <w:vertAlign w:val="baseline"/>
                <w:lang w:val="en-US" w:eastAsia="zh-CN"/>
              </w:rPr>
              <w:t>聘任现职务或职级时间</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2"/>
                <w:sz w:val="21"/>
                <w:szCs w:val="21"/>
                <w:vertAlign w:val="baseline"/>
                <w:lang w:val="en-US" w:eastAsia="zh-CN" w:bidi="ar-SA"/>
              </w:rPr>
            </w:pPr>
            <w:r>
              <w:rPr>
                <w:rFonts w:hint="eastAsia" w:ascii="黑体" w:hAnsi="黑体" w:eastAsia="黑体" w:cs="黑体"/>
                <w:b w:val="0"/>
                <w:bCs w:val="0"/>
                <w:sz w:val="21"/>
                <w:szCs w:val="21"/>
                <w:vertAlign w:val="baseline"/>
                <w:lang w:val="en-US" w:eastAsia="zh-CN"/>
              </w:rPr>
              <w:t>拟报考级别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26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1"/>
                <w:szCs w:val="21"/>
                <w:vertAlign w:val="baseline"/>
                <w:lang w:val="en-US" w:eastAsia="zh-CN" w:bidi="ar-SA"/>
              </w:rPr>
            </w:pPr>
          </w:p>
        </w:tc>
        <w:tc>
          <w:tcPr>
            <w:tcW w:w="13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1"/>
                <w:szCs w:val="21"/>
                <w:vertAlign w:val="baseline"/>
                <w:lang w:val="en-US" w:eastAsia="zh-CN" w:bidi="ar-SA"/>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1"/>
                <w:szCs w:val="21"/>
                <w:vertAlign w:val="baseline"/>
                <w:lang w:val="en-US" w:eastAsia="zh-CN" w:bidi="ar-SA"/>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26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26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26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26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3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20" w:lineRule="exact"/>
        <w:ind w:left="1050" w:hanging="1050" w:hangingChars="500"/>
        <w:textAlignment w:val="auto"/>
        <w:rPr>
          <w:rFonts w:hint="default" w:ascii="Times New Roman" w:hAnsi="Times New Roman" w:eastAsia="仿宋_GB2312" w:cs="Times New Roman"/>
          <w:lang w:val="en-US" w:eastAsia="zh-CN"/>
        </w:rPr>
      </w:pPr>
      <w:r>
        <w:rPr>
          <w:rFonts w:hint="eastAsia" w:ascii="黑体" w:hAnsi="黑体" w:eastAsia="黑体" w:cs="黑体"/>
          <w:lang w:val="en-US" w:eastAsia="zh-CN"/>
        </w:rPr>
        <w:t>备注：</w:t>
      </w:r>
      <w:r>
        <w:rPr>
          <w:rFonts w:hint="default" w:ascii="Times New Roman" w:hAnsi="Times New Roman" w:eastAsia="仿宋_GB2312" w:cs="Times New Roman"/>
          <w:lang w:val="en-US" w:eastAsia="zh-CN"/>
        </w:rPr>
        <w:t>一、卫生管理研究专业初、中级资格考试合格人员，用人单位可直接转聘为研究实习员、助理研究员专业技术职务。卫生管理研究专业高级考试合格人员，用人单位可将考试合格成绩作为转评副研究员、研究员的依据。</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630" w:firstLineChars="3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现聘任其他系列（非研究系列）专业技术职务，转评（聘）后晋升高一级专业技术职务时，转评（聘）前聘任的同级别专业技术职务期间的</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1050" w:firstLineChars="5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任职时间和业绩成果可以作为晋升的依据。</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630" w:firstLineChars="3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现聘任管理岗位职级，转评（聘）后晋升高一级专业技术职务时，转评（聘）前聘任的同级别管理岗位职级期间的任职时间和业绩成果可以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1050" w:firstLineChars="5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作为晋升的依据。</w:t>
      </w:r>
    </w:p>
    <w:p>
      <w:pPr>
        <w:keepNext w:val="0"/>
        <w:keepLines w:val="0"/>
        <w:pageBreakBefore w:val="0"/>
        <w:widowControl w:val="0"/>
        <w:kinsoku/>
        <w:wordWrap/>
        <w:overflowPunct/>
        <w:topLinePunct w:val="0"/>
        <w:autoSpaceDE/>
        <w:autoSpaceDN/>
        <w:bidi w:val="0"/>
        <w:adjustRightInd/>
        <w:snapToGrid/>
        <w:spacing w:line="320" w:lineRule="exact"/>
        <w:ind w:left="1050" w:leftChars="300" w:hanging="420" w:hanging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转评（聘）卫生管理研究专业职称前，曾聘任多个系列（非研究系列）专业技术职务或管理岗位职级，或在专业技术岗位和管理岗位都曾被聘任过，转评（聘）后晋升高一级专业技术职务时，转评（聘）前聘任的同级别专业技术职务或管理岗位职级期间的任职时间和业绩可以作为晋升的依据。</w:t>
      </w:r>
    </w:p>
    <w:p>
      <w:r>
        <w:rPr>
          <w:rFonts w:hint="default" w:ascii="Times New Roman" w:hAnsi="Times New Roman" w:eastAsia="仿宋_GB2312" w:cs="Times New Roman"/>
          <w:lang w:val="en-US" w:eastAsia="zh-CN"/>
        </w:rPr>
        <w:t>五、在不同单位聘任同一级别的专业技术职务或管理岗位职级，任职时间和业绩可以累计。</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566CC"/>
    <w:multiLevelType w:val="singleLevel"/>
    <w:tmpl w:val="B15566C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B4EE2"/>
    <w:rsid w:val="753B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2024-02-22T08:49:00Z</dcterms:created>
  <dc:creator>xxzx</dc:creator>
  <cp:lastModifiedBy>xxzx</cp:lastModifiedBy>
  <dcterms:modified xsi:type="dcterms:W3CDTF">2024-02-22T08:50:17Z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