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color w:val="000000"/>
          <w:kern w:val="0"/>
          <w:sz w:val="44"/>
          <w:szCs w:val="44"/>
        </w:rPr>
      </w:pPr>
      <w:r>
        <w:rPr>
          <w:rFonts w:hint="eastAsia" w:ascii="黑体" w:hAnsi="黑体" w:eastAsia="黑体" w:cs="黑体"/>
          <w:color w:val="000000"/>
          <w:kern w:val="0"/>
          <w:sz w:val="32"/>
          <w:szCs w:val="32"/>
        </w:rPr>
        <w:t>附件1</w:t>
      </w:r>
    </w:p>
    <w:p>
      <w:pPr>
        <w:jc w:val="center"/>
        <w:rPr>
          <w:rFonts w:hint="eastAsia" w:ascii="楷体_GB2312" w:hAnsi="楷体_GB2312" w:eastAsia="楷体_GB2312" w:cs="楷体_GB2312"/>
          <w:color w:val="000000"/>
          <w:kern w:val="0"/>
          <w:sz w:val="32"/>
          <w:szCs w:val="32"/>
        </w:rPr>
      </w:pPr>
      <w:r>
        <w:rPr>
          <w:rFonts w:eastAsia="方正小标宋简体"/>
          <w:color w:val="000000"/>
          <w:kern w:val="0"/>
          <w:sz w:val="44"/>
          <w:szCs w:val="44"/>
        </w:rPr>
        <w:t>浙江省健康乡镇建设评分细则</w:t>
      </w:r>
      <w:r>
        <w:rPr>
          <w:rFonts w:hint="eastAsia" w:ascii="楷体_GB2312" w:hAnsi="楷体_GB2312" w:eastAsia="楷体_GB2312" w:cs="楷体_GB2312"/>
          <w:bCs/>
          <w:color w:val="000000"/>
          <w:kern w:val="0"/>
          <w:sz w:val="32"/>
          <w:szCs w:val="32"/>
        </w:rPr>
        <w:t>（试行）</w:t>
      </w:r>
    </w:p>
    <w:p>
      <w:pPr>
        <w:rPr>
          <w:rFonts w:eastAsia="方正小标宋简体"/>
          <w:color w:val="000000"/>
          <w:kern w:val="0"/>
          <w:sz w:val="32"/>
          <w:szCs w:val="32"/>
        </w:rPr>
      </w:pPr>
    </w:p>
    <w:p>
      <w:pPr>
        <w:rPr>
          <w:rFonts w:hint="eastAsia" w:ascii="黑体" w:hAnsi="黑体" w:eastAsia="黑体" w:cs="黑体"/>
          <w:color w:val="000000"/>
          <w:kern w:val="0"/>
          <w:sz w:val="28"/>
          <w:szCs w:val="28"/>
          <w:u w:val="single"/>
        </w:rPr>
      </w:pPr>
      <w:r>
        <w:rPr>
          <w:rFonts w:hint="eastAsia" w:ascii="黑体" w:hAnsi="黑体" w:eastAsia="黑体" w:cs="黑体"/>
          <w:color w:val="000000"/>
          <w:kern w:val="0"/>
          <w:sz w:val="28"/>
          <w:szCs w:val="28"/>
        </w:rPr>
        <w:t>评价对象：</w:t>
      </w:r>
      <w:r>
        <w:rPr>
          <w:rFonts w:hint="eastAsia" w:ascii="黑体" w:hAnsi="黑体" w:eastAsia="黑体" w:cs="黑体"/>
          <w:color w:val="000000"/>
          <w:kern w:val="0"/>
          <w:sz w:val="28"/>
          <w:szCs w:val="28"/>
          <w:u w:val="single"/>
        </w:rPr>
        <w:t xml:space="preserve">          </w:t>
      </w:r>
      <w:r>
        <w:rPr>
          <w:rFonts w:hint="eastAsia" w:ascii="黑体" w:hAnsi="黑体" w:eastAsia="黑体" w:cs="黑体"/>
          <w:color w:val="000000"/>
          <w:kern w:val="0"/>
          <w:sz w:val="28"/>
          <w:szCs w:val="28"/>
        </w:rPr>
        <w:t xml:space="preserve">市 </w:t>
      </w:r>
      <w:r>
        <w:rPr>
          <w:rFonts w:hint="eastAsia" w:ascii="黑体" w:hAnsi="黑体" w:eastAsia="黑体" w:cs="黑体"/>
          <w:color w:val="000000"/>
          <w:kern w:val="0"/>
          <w:sz w:val="28"/>
          <w:szCs w:val="28"/>
          <w:u w:val="single"/>
        </w:rPr>
        <w:t xml:space="preserve">           </w:t>
      </w:r>
      <w:r>
        <w:rPr>
          <w:rFonts w:hint="eastAsia" w:ascii="黑体" w:hAnsi="黑体" w:eastAsia="黑体" w:cs="黑体"/>
          <w:color w:val="000000"/>
          <w:kern w:val="0"/>
          <w:sz w:val="28"/>
          <w:szCs w:val="28"/>
        </w:rPr>
        <w:t>县（市、区）</w:t>
      </w:r>
      <w:r>
        <w:rPr>
          <w:rFonts w:hint="eastAsia" w:ascii="黑体" w:hAnsi="黑体" w:eastAsia="黑体" w:cs="黑体"/>
          <w:color w:val="000000"/>
          <w:kern w:val="0"/>
          <w:sz w:val="28"/>
          <w:szCs w:val="28"/>
          <w:u w:val="single"/>
        </w:rPr>
        <w:t xml:space="preserve">              </w:t>
      </w:r>
      <w:r>
        <w:rPr>
          <w:rFonts w:hint="eastAsia" w:ascii="黑体" w:hAnsi="黑体" w:eastAsia="黑体" w:cs="黑体"/>
          <w:color w:val="000000"/>
          <w:kern w:val="0"/>
          <w:sz w:val="28"/>
          <w:szCs w:val="28"/>
        </w:rPr>
        <w:t>乡镇</w:t>
      </w:r>
    </w:p>
    <w:p>
      <w:pPr>
        <w:rPr>
          <w:rFonts w:hint="eastAsia" w:ascii="黑体" w:hAnsi="黑体" w:eastAsia="黑体" w:cs="黑体"/>
          <w:color w:val="000000"/>
          <w:kern w:val="0"/>
          <w:sz w:val="28"/>
          <w:szCs w:val="28"/>
          <w:highlight w:val="yellow"/>
          <w:u w:val="single"/>
        </w:rPr>
      </w:pPr>
      <w:r>
        <w:rPr>
          <w:rFonts w:hint="eastAsia" w:ascii="黑体" w:hAnsi="黑体" w:eastAsia="黑体" w:cs="黑体"/>
          <w:color w:val="000000"/>
          <w:kern w:val="0"/>
          <w:sz w:val="28"/>
          <w:szCs w:val="28"/>
        </w:rPr>
        <w:t>评价单位：</w:t>
      </w:r>
      <w:r>
        <w:rPr>
          <w:rFonts w:hint="eastAsia" w:ascii="黑体" w:hAnsi="黑体" w:eastAsia="黑体" w:cs="黑体"/>
          <w:color w:val="000000"/>
          <w:kern w:val="0"/>
          <w:sz w:val="28"/>
          <w:szCs w:val="28"/>
          <w:u w:val="single"/>
        </w:rPr>
        <w:t xml:space="preserve">                        </w:t>
      </w:r>
      <w:r>
        <w:rPr>
          <w:rFonts w:hint="eastAsia" w:ascii="黑体" w:hAnsi="黑体" w:eastAsia="黑体" w:cs="黑体"/>
          <w:color w:val="000000"/>
          <w:kern w:val="0"/>
          <w:sz w:val="28"/>
          <w:szCs w:val="28"/>
        </w:rPr>
        <w:t>评价时间：</w:t>
      </w:r>
      <w:r>
        <w:rPr>
          <w:rFonts w:hint="eastAsia" w:ascii="黑体" w:hAnsi="黑体" w:eastAsia="黑体" w:cs="黑体"/>
          <w:color w:val="000000"/>
          <w:kern w:val="0"/>
          <w:sz w:val="28"/>
          <w:szCs w:val="28"/>
          <w:u w:val="single"/>
        </w:rPr>
        <w:t xml:space="preserve">              </w:t>
      </w:r>
      <w:r>
        <w:rPr>
          <w:rFonts w:hint="eastAsia" w:ascii="黑体" w:hAnsi="黑体" w:eastAsia="黑体" w:cs="黑体"/>
          <w:color w:val="000000"/>
          <w:kern w:val="0"/>
          <w:sz w:val="28"/>
          <w:szCs w:val="28"/>
        </w:rPr>
        <w:t xml:space="preserve">  总分：</w:t>
      </w:r>
      <w:r>
        <w:rPr>
          <w:rFonts w:hint="eastAsia" w:ascii="黑体" w:hAnsi="黑体" w:eastAsia="黑体" w:cs="黑体"/>
          <w:color w:val="000000"/>
          <w:kern w:val="0"/>
          <w:sz w:val="28"/>
          <w:szCs w:val="28"/>
          <w:u w:val="single"/>
        </w:rPr>
        <w:t xml:space="preserve">              </w:t>
      </w:r>
    </w:p>
    <w:tbl>
      <w:tblPr>
        <w:tblStyle w:val="3"/>
        <w:tblW w:w="1451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57" w:type="dxa"/>
          <w:bottom w:w="28" w:type="dxa"/>
          <w:right w:w="57" w:type="dxa"/>
        </w:tblCellMar>
      </w:tblPr>
      <w:tblGrid>
        <w:gridCol w:w="1160"/>
        <w:gridCol w:w="1250"/>
        <w:gridCol w:w="3299"/>
        <w:gridCol w:w="678"/>
        <w:gridCol w:w="5664"/>
        <w:gridCol w:w="1478"/>
        <w:gridCol w:w="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57" w:type="dxa"/>
            <w:bottom w:w="28" w:type="dxa"/>
            <w:right w:w="57" w:type="dxa"/>
          </w:tblCellMar>
        </w:tblPrEx>
        <w:trPr>
          <w:trHeight w:val="454" w:hRule="atLeast"/>
          <w:tblHeader/>
          <w:jc w:val="center"/>
        </w:trPr>
        <w:tc>
          <w:tcPr>
            <w:tcW w:w="1160" w:type="dxa"/>
            <w:noWrap w:val="0"/>
            <w:vAlign w:val="center"/>
          </w:tcPr>
          <w:p>
            <w:pPr>
              <w:widowControl/>
              <w:jc w:val="center"/>
              <w:textAlignment w:val="center"/>
              <w:rPr>
                <w:rFonts w:hint="eastAsia" w:ascii="黑体" w:hAnsi="黑体" w:eastAsia="黑体" w:cs="黑体"/>
                <w:bCs/>
                <w:color w:val="000000"/>
                <w:szCs w:val="21"/>
              </w:rPr>
            </w:pPr>
            <w:r>
              <w:rPr>
                <w:rFonts w:hint="eastAsia" w:ascii="黑体" w:hAnsi="黑体" w:eastAsia="黑体" w:cs="黑体"/>
                <w:bCs/>
                <w:color w:val="000000"/>
                <w:szCs w:val="21"/>
              </w:rPr>
              <w:t>一级</w:t>
            </w:r>
          </w:p>
          <w:p>
            <w:pPr>
              <w:widowControl/>
              <w:jc w:val="center"/>
              <w:textAlignment w:val="center"/>
              <w:rPr>
                <w:rFonts w:hint="eastAsia" w:ascii="黑体" w:hAnsi="黑体" w:eastAsia="黑体" w:cs="黑体"/>
                <w:bCs/>
                <w:color w:val="000000"/>
                <w:szCs w:val="21"/>
              </w:rPr>
            </w:pPr>
            <w:r>
              <w:rPr>
                <w:rFonts w:hint="eastAsia" w:ascii="黑体" w:hAnsi="黑体" w:eastAsia="黑体" w:cs="黑体"/>
                <w:bCs/>
                <w:color w:val="000000"/>
                <w:szCs w:val="21"/>
              </w:rPr>
              <w:t>指标</w:t>
            </w:r>
          </w:p>
        </w:tc>
        <w:tc>
          <w:tcPr>
            <w:tcW w:w="1250" w:type="dxa"/>
            <w:noWrap w:val="0"/>
            <w:vAlign w:val="center"/>
          </w:tcPr>
          <w:p>
            <w:pPr>
              <w:widowControl/>
              <w:jc w:val="center"/>
              <w:textAlignment w:val="center"/>
              <w:rPr>
                <w:rFonts w:hint="eastAsia" w:ascii="黑体" w:hAnsi="黑体" w:eastAsia="黑体" w:cs="黑体"/>
                <w:bCs/>
                <w:color w:val="000000"/>
                <w:szCs w:val="21"/>
              </w:rPr>
            </w:pPr>
            <w:r>
              <w:rPr>
                <w:rFonts w:hint="eastAsia" w:ascii="黑体" w:hAnsi="黑体" w:eastAsia="黑体" w:cs="黑体"/>
                <w:bCs/>
                <w:color w:val="000000"/>
                <w:szCs w:val="21"/>
              </w:rPr>
              <w:t>二级指标</w:t>
            </w:r>
          </w:p>
        </w:tc>
        <w:tc>
          <w:tcPr>
            <w:tcW w:w="3299" w:type="dxa"/>
            <w:noWrap w:val="0"/>
            <w:vAlign w:val="center"/>
          </w:tcPr>
          <w:p>
            <w:pPr>
              <w:widowControl/>
              <w:jc w:val="center"/>
              <w:textAlignment w:val="center"/>
              <w:rPr>
                <w:rFonts w:hint="eastAsia" w:ascii="黑体" w:hAnsi="黑体" w:eastAsia="黑体" w:cs="黑体"/>
                <w:bCs/>
                <w:color w:val="000000"/>
                <w:szCs w:val="21"/>
              </w:rPr>
            </w:pPr>
            <w:r>
              <w:rPr>
                <w:rFonts w:hint="eastAsia" w:ascii="黑体" w:hAnsi="黑体" w:eastAsia="黑体" w:cs="黑体"/>
                <w:bCs/>
                <w:color w:val="000000"/>
                <w:kern w:val="0"/>
                <w:szCs w:val="21"/>
              </w:rPr>
              <w:t>三级指标</w:t>
            </w:r>
          </w:p>
        </w:tc>
        <w:tc>
          <w:tcPr>
            <w:tcW w:w="678" w:type="dxa"/>
            <w:noWrap w:val="0"/>
            <w:vAlign w:val="center"/>
          </w:tcPr>
          <w:p>
            <w:pPr>
              <w:widowControl/>
              <w:ind w:right="-57" w:rightChars="-27"/>
              <w:jc w:val="center"/>
              <w:textAlignment w:val="center"/>
              <w:rPr>
                <w:rFonts w:hint="eastAsia" w:ascii="黑体" w:hAnsi="黑体" w:eastAsia="黑体" w:cs="黑体"/>
                <w:bCs/>
                <w:color w:val="000000"/>
                <w:szCs w:val="21"/>
              </w:rPr>
            </w:pPr>
            <w:r>
              <w:rPr>
                <w:rFonts w:hint="eastAsia" w:ascii="黑体" w:hAnsi="黑体" w:eastAsia="黑体" w:cs="黑体"/>
                <w:bCs/>
                <w:color w:val="000000"/>
                <w:kern w:val="0"/>
                <w:szCs w:val="21"/>
              </w:rPr>
              <w:t>分值</w:t>
            </w:r>
          </w:p>
        </w:tc>
        <w:tc>
          <w:tcPr>
            <w:tcW w:w="5664" w:type="dxa"/>
            <w:noWrap w:val="0"/>
            <w:vAlign w:val="center"/>
          </w:tcPr>
          <w:p>
            <w:pPr>
              <w:widowControl/>
              <w:jc w:val="center"/>
              <w:textAlignment w:val="center"/>
              <w:rPr>
                <w:rFonts w:hint="eastAsia" w:ascii="黑体" w:hAnsi="黑体" w:eastAsia="黑体" w:cs="黑体"/>
                <w:bCs/>
                <w:color w:val="000000"/>
                <w:szCs w:val="21"/>
              </w:rPr>
            </w:pPr>
            <w:r>
              <w:rPr>
                <w:rFonts w:hint="eastAsia" w:ascii="黑体" w:hAnsi="黑体" w:eastAsia="黑体" w:cs="黑体"/>
                <w:bCs/>
                <w:color w:val="000000"/>
                <w:kern w:val="0"/>
                <w:szCs w:val="21"/>
              </w:rPr>
              <w:t>评分要求和方法</w:t>
            </w:r>
          </w:p>
        </w:tc>
        <w:tc>
          <w:tcPr>
            <w:tcW w:w="1478" w:type="dxa"/>
            <w:noWrap w:val="0"/>
            <w:vAlign w:val="center"/>
          </w:tcPr>
          <w:p>
            <w:pPr>
              <w:widowControl/>
              <w:jc w:val="center"/>
              <w:textAlignment w:val="center"/>
              <w:rPr>
                <w:rFonts w:hint="eastAsia" w:ascii="黑体" w:hAnsi="黑体" w:eastAsia="黑体" w:cs="黑体"/>
                <w:bCs/>
                <w:color w:val="000000"/>
                <w:szCs w:val="21"/>
              </w:rPr>
            </w:pPr>
            <w:r>
              <w:rPr>
                <w:rFonts w:hint="eastAsia" w:ascii="黑体" w:hAnsi="黑体" w:eastAsia="黑体" w:cs="黑体"/>
                <w:bCs/>
                <w:color w:val="000000"/>
                <w:szCs w:val="21"/>
              </w:rPr>
              <w:t>评价结果</w:t>
            </w:r>
          </w:p>
        </w:tc>
        <w:tc>
          <w:tcPr>
            <w:tcW w:w="984" w:type="dxa"/>
            <w:noWrap w:val="0"/>
            <w:vAlign w:val="center"/>
          </w:tcPr>
          <w:p>
            <w:pPr>
              <w:widowControl/>
              <w:ind w:left="-481" w:leftChars="-229"/>
              <w:jc w:val="center"/>
              <w:textAlignment w:val="center"/>
              <w:rPr>
                <w:rFonts w:hint="eastAsia" w:ascii="黑体" w:hAnsi="黑体" w:eastAsia="黑体" w:cs="黑体"/>
                <w:bCs/>
                <w:color w:val="000000"/>
                <w:kern w:val="0"/>
                <w:szCs w:val="21"/>
              </w:rPr>
            </w:pPr>
            <w:r>
              <w:rPr>
                <w:rFonts w:hint="eastAsia" w:ascii="黑体" w:hAnsi="黑体" w:eastAsia="黑体" w:cs="黑体"/>
                <w:bCs/>
                <w:color w:val="000000"/>
                <w:kern w:val="0"/>
                <w:szCs w:val="21"/>
              </w:rPr>
              <w:t xml:space="preserve">     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57" w:type="dxa"/>
            <w:bottom w:w="28" w:type="dxa"/>
            <w:right w:w="57" w:type="dxa"/>
          </w:tblCellMar>
        </w:tblPrEx>
        <w:trPr>
          <w:trHeight w:val="454" w:hRule="atLeast"/>
          <w:jc w:val="center"/>
        </w:trPr>
        <w:tc>
          <w:tcPr>
            <w:tcW w:w="1160" w:type="dxa"/>
            <w:vMerge w:val="restart"/>
            <w:noWrap w:val="0"/>
            <w:vAlign w:val="center"/>
          </w:tcPr>
          <w:p>
            <w:pPr>
              <w:jc w:val="center"/>
              <w:rPr>
                <w:rFonts w:hint="eastAsia" w:ascii="黑体" w:hAnsi="黑体" w:eastAsia="黑体" w:cs="黑体"/>
                <w:bCs/>
                <w:kern w:val="0"/>
                <w:szCs w:val="21"/>
              </w:rPr>
            </w:pPr>
            <w:r>
              <w:rPr>
                <w:rFonts w:hint="eastAsia" w:ascii="黑体" w:hAnsi="黑体" w:eastAsia="黑体" w:cs="黑体"/>
                <w:bCs/>
                <w:kern w:val="0"/>
                <w:szCs w:val="21"/>
              </w:rPr>
              <w:t>一、基本条件（10分）</w:t>
            </w:r>
          </w:p>
        </w:tc>
        <w:tc>
          <w:tcPr>
            <w:tcW w:w="1250" w:type="dxa"/>
            <w:noWrap w:val="0"/>
            <w:vAlign w:val="center"/>
          </w:tcPr>
          <w:p>
            <w:pPr>
              <w:rPr>
                <w:rFonts w:eastAsia="仿宋_GB2312"/>
                <w:kern w:val="0"/>
                <w:szCs w:val="21"/>
              </w:rPr>
            </w:pPr>
            <w:r>
              <w:rPr>
                <w:rFonts w:eastAsia="仿宋_GB2312"/>
                <w:kern w:val="0"/>
                <w:szCs w:val="21"/>
              </w:rPr>
              <w:t>1.国家卫生乡镇创建成果有效巩固</w:t>
            </w:r>
          </w:p>
        </w:tc>
        <w:tc>
          <w:tcPr>
            <w:tcW w:w="3299" w:type="dxa"/>
            <w:noWrap w:val="0"/>
            <w:vAlign w:val="center"/>
          </w:tcPr>
          <w:p>
            <w:pPr>
              <w:rPr>
                <w:rFonts w:eastAsia="仿宋_GB2312"/>
                <w:kern w:val="0"/>
                <w:szCs w:val="21"/>
              </w:rPr>
            </w:pPr>
            <w:r>
              <w:rPr>
                <w:rFonts w:eastAsia="仿宋_GB2312"/>
                <w:kern w:val="0"/>
                <w:szCs w:val="21"/>
              </w:rPr>
              <w:t>获得国家卫生乡镇命名，并有效巩固国家卫生乡镇创建成果</w:t>
            </w:r>
          </w:p>
        </w:tc>
        <w:tc>
          <w:tcPr>
            <w:tcW w:w="678" w:type="dxa"/>
            <w:noWrap w:val="0"/>
            <w:vAlign w:val="center"/>
          </w:tcPr>
          <w:p>
            <w:pPr>
              <w:jc w:val="center"/>
              <w:rPr>
                <w:rFonts w:eastAsia="仿宋_GB2312"/>
                <w:kern w:val="0"/>
                <w:szCs w:val="21"/>
              </w:rPr>
            </w:pPr>
            <w:r>
              <w:rPr>
                <w:rFonts w:eastAsia="仿宋_GB2312"/>
                <w:kern w:val="0"/>
                <w:szCs w:val="21"/>
              </w:rPr>
              <w:t>-</w:t>
            </w:r>
          </w:p>
        </w:tc>
        <w:tc>
          <w:tcPr>
            <w:tcW w:w="5664" w:type="dxa"/>
            <w:noWrap w:val="0"/>
            <w:vAlign w:val="center"/>
          </w:tcPr>
          <w:p>
            <w:pPr>
              <w:rPr>
                <w:rFonts w:eastAsia="仿宋_GB2312"/>
                <w:kern w:val="0"/>
                <w:szCs w:val="21"/>
              </w:rPr>
            </w:pPr>
            <w:r>
              <w:rPr>
                <w:rFonts w:eastAsia="仿宋_GB2312"/>
                <w:kern w:val="0"/>
                <w:szCs w:val="21"/>
              </w:rPr>
              <w:t>国家卫生乡镇</w:t>
            </w:r>
            <w:r>
              <w:rPr>
                <w:rFonts w:hint="eastAsia" w:eastAsia="仿宋_GB2312"/>
                <w:kern w:val="0"/>
                <w:szCs w:val="21"/>
              </w:rPr>
              <w:t>因</w:t>
            </w:r>
            <w:r>
              <w:rPr>
                <w:rFonts w:eastAsia="仿宋_GB2312"/>
                <w:kern w:val="0"/>
                <w:szCs w:val="21"/>
              </w:rPr>
              <w:t>巩固工作不力</w:t>
            </w:r>
            <w:r>
              <w:rPr>
                <w:rFonts w:hint="eastAsia" w:eastAsia="仿宋_GB2312"/>
                <w:kern w:val="0"/>
                <w:szCs w:val="21"/>
              </w:rPr>
              <w:t>，</w:t>
            </w:r>
            <w:r>
              <w:rPr>
                <w:rFonts w:eastAsia="仿宋_GB2312"/>
                <w:kern w:val="0"/>
                <w:szCs w:val="21"/>
              </w:rPr>
              <w:t>未能通过</w:t>
            </w:r>
            <w:r>
              <w:rPr>
                <w:rFonts w:hint="eastAsia" w:eastAsia="仿宋_GB2312"/>
                <w:kern w:val="0"/>
                <w:szCs w:val="21"/>
              </w:rPr>
              <w:t>复审</w:t>
            </w:r>
            <w:r>
              <w:rPr>
                <w:rFonts w:eastAsia="仿宋_GB2312"/>
                <w:kern w:val="0"/>
                <w:szCs w:val="21"/>
              </w:rPr>
              <w:t xml:space="preserve">的，或国家卫生乡镇量化分级管理出现降级处理的，均视为未有效巩固。 </w:t>
            </w:r>
          </w:p>
        </w:tc>
        <w:tc>
          <w:tcPr>
            <w:tcW w:w="1478" w:type="dxa"/>
            <w:noWrap w:val="0"/>
            <w:vAlign w:val="center"/>
          </w:tcPr>
          <w:p>
            <w:pPr>
              <w:rPr>
                <w:rFonts w:eastAsia="仿宋_GB2312"/>
                <w:kern w:val="0"/>
                <w:szCs w:val="21"/>
              </w:rPr>
            </w:pPr>
          </w:p>
        </w:tc>
        <w:tc>
          <w:tcPr>
            <w:tcW w:w="984" w:type="dxa"/>
          </w:tcPr>
          <w:p>
            <w:pPr>
              <w:rPr>
                <w:rFonts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57" w:type="dxa"/>
            <w:bottom w:w="28" w:type="dxa"/>
            <w:right w:w="57" w:type="dxa"/>
          </w:tblCellMar>
        </w:tblPrEx>
        <w:trPr>
          <w:trHeight w:val="454" w:hRule="atLeast"/>
          <w:jc w:val="center"/>
        </w:trPr>
        <w:tc>
          <w:tcPr>
            <w:tcW w:w="1160" w:type="dxa"/>
            <w:vMerge w:val="continue"/>
            <w:noWrap w:val="0"/>
            <w:vAlign w:val="center"/>
          </w:tcPr>
          <w:p>
            <w:pPr>
              <w:rPr>
                <w:rFonts w:hint="eastAsia" w:ascii="黑体" w:hAnsi="黑体" w:eastAsia="黑体" w:cs="黑体"/>
                <w:bCs/>
                <w:kern w:val="0"/>
                <w:szCs w:val="21"/>
              </w:rPr>
            </w:pPr>
          </w:p>
        </w:tc>
        <w:tc>
          <w:tcPr>
            <w:tcW w:w="1250" w:type="dxa"/>
            <w:noWrap w:val="0"/>
            <w:vAlign w:val="center"/>
          </w:tcPr>
          <w:p>
            <w:pPr>
              <w:rPr>
                <w:rFonts w:eastAsia="仿宋_GB2312"/>
                <w:kern w:val="0"/>
                <w:szCs w:val="21"/>
              </w:rPr>
            </w:pPr>
            <w:r>
              <w:rPr>
                <w:rFonts w:eastAsia="仿宋_GB2312"/>
                <w:kern w:val="0"/>
                <w:szCs w:val="21"/>
              </w:rPr>
              <w:t>2.无重大危害健康事件发生</w:t>
            </w:r>
          </w:p>
        </w:tc>
        <w:tc>
          <w:tcPr>
            <w:tcW w:w="3299" w:type="dxa"/>
            <w:noWrap w:val="0"/>
            <w:vAlign w:val="center"/>
          </w:tcPr>
          <w:p>
            <w:pPr>
              <w:rPr>
                <w:rFonts w:eastAsia="仿宋_GB2312"/>
                <w:kern w:val="0"/>
                <w:szCs w:val="21"/>
              </w:rPr>
            </w:pPr>
            <w:r>
              <w:rPr>
                <w:rFonts w:eastAsia="仿宋_GB2312"/>
                <w:kern w:val="0"/>
                <w:szCs w:val="21"/>
              </w:rPr>
              <w:t>无重大危害健康事件发生，包括重大环境事件、重大食品药品和农产品安全事件、重大公共卫生安全事件</w:t>
            </w:r>
          </w:p>
        </w:tc>
        <w:tc>
          <w:tcPr>
            <w:tcW w:w="678" w:type="dxa"/>
            <w:noWrap w:val="0"/>
            <w:vAlign w:val="center"/>
          </w:tcPr>
          <w:p>
            <w:pPr>
              <w:jc w:val="center"/>
              <w:rPr>
                <w:rFonts w:eastAsia="仿宋_GB2312"/>
                <w:kern w:val="0"/>
                <w:szCs w:val="21"/>
              </w:rPr>
            </w:pPr>
            <w:r>
              <w:rPr>
                <w:rFonts w:eastAsia="仿宋_GB2312"/>
                <w:kern w:val="0"/>
                <w:szCs w:val="21"/>
              </w:rPr>
              <w:t>-</w:t>
            </w:r>
          </w:p>
        </w:tc>
        <w:tc>
          <w:tcPr>
            <w:tcW w:w="5664" w:type="dxa"/>
            <w:noWrap w:val="0"/>
            <w:vAlign w:val="center"/>
          </w:tcPr>
          <w:p>
            <w:pPr>
              <w:rPr>
                <w:rFonts w:eastAsia="仿宋_GB2312"/>
                <w:kern w:val="0"/>
                <w:szCs w:val="21"/>
              </w:rPr>
            </w:pPr>
            <w:r>
              <w:rPr>
                <w:rFonts w:eastAsia="仿宋_GB2312"/>
                <w:kern w:val="0"/>
                <w:szCs w:val="21"/>
              </w:rPr>
              <w:t>近2年发生1起及以上相应事件的，健康乡镇评价不通过。</w:t>
            </w:r>
          </w:p>
        </w:tc>
        <w:tc>
          <w:tcPr>
            <w:tcW w:w="1478" w:type="dxa"/>
            <w:noWrap w:val="0"/>
            <w:vAlign w:val="center"/>
          </w:tcPr>
          <w:p>
            <w:pPr>
              <w:rPr>
                <w:rFonts w:eastAsia="仿宋_GB2312"/>
                <w:kern w:val="0"/>
                <w:szCs w:val="21"/>
              </w:rPr>
            </w:pPr>
          </w:p>
        </w:tc>
        <w:tc>
          <w:tcPr>
            <w:tcW w:w="984" w:type="dxa"/>
          </w:tcPr>
          <w:p>
            <w:pPr>
              <w:rPr>
                <w:rFonts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57" w:type="dxa"/>
            <w:bottom w:w="28" w:type="dxa"/>
            <w:right w:w="57" w:type="dxa"/>
          </w:tblCellMar>
        </w:tblPrEx>
        <w:trPr>
          <w:trHeight w:val="454" w:hRule="atLeast"/>
          <w:jc w:val="center"/>
        </w:trPr>
        <w:tc>
          <w:tcPr>
            <w:tcW w:w="1160" w:type="dxa"/>
            <w:vMerge w:val="continue"/>
            <w:noWrap w:val="0"/>
            <w:vAlign w:val="center"/>
          </w:tcPr>
          <w:p>
            <w:pPr>
              <w:rPr>
                <w:rFonts w:hint="eastAsia" w:ascii="黑体" w:hAnsi="黑体" w:eastAsia="黑体" w:cs="黑体"/>
                <w:bCs/>
                <w:kern w:val="0"/>
                <w:szCs w:val="21"/>
              </w:rPr>
            </w:pPr>
          </w:p>
        </w:tc>
        <w:tc>
          <w:tcPr>
            <w:tcW w:w="1250" w:type="dxa"/>
            <w:noWrap w:val="0"/>
            <w:vAlign w:val="center"/>
          </w:tcPr>
          <w:p>
            <w:pPr>
              <w:rPr>
                <w:rFonts w:eastAsia="仿宋_GB2312"/>
                <w:kern w:val="0"/>
                <w:szCs w:val="21"/>
              </w:rPr>
            </w:pPr>
            <w:r>
              <w:rPr>
                <w:rFonts w:eastAsia="仿宋_GB2312"/>
                <w:kern w:val="0"/>
                <w:szCs w:val="21"/>
              </w:rPr>
              <w:t>3.开展健康村建设</w:t>
            </w:r>
          </w:p>
        </w:tc>
        <w:tc>
          <w:tcPr>
            <w:tcW w:w="3299" w:type="dxa"/>
            <w:noWrap w:val="0"/>
            <w:vAlign w:val="center"/>
          </w:tcPr>
          <w:p>
            <w:pPr>
              <w:rPr>
                <w:rFonts w:eastAsia="仿宋_GB2312"/>
                <w:kern w:val="0"/>
                <w:szCs w:val="21"/>
              </w:rPr>
            </w:pPr>
            <w:r>
              <w:rPr>
                <w:rFonts w:eastAsia="仿宋_GB2312"/>
                <w:kern w:val="0"/>
                <w:szCs w:val="21"/>
              </w:rPr>
              <w:t>90%以上的村开展健康村建设，其中符合省级健康村建设标准的达到30%以上</w:t>
            </w:r>
          </w:p>
        </w:tc>
        <w:tc>
          <w:tcPr>
            <w:tcW w:w="678" w:type="dxa"/>
            <w:noWrap w:val="0"/>
            <w:vAlign w:val="center"/>
          </w:tcPr>
          <w:p>
            <w:pPr>
              <w:jc w:val="center"/>
              <w:rPr>
                <w:rFonts w:eastAsia="仿宋_GB2312"/>
                <w:kern w:val="0"/>
                <w:szCs w:val="21"/>
              </w:rPr>
            </w:pPr>
            <w:r>
              <w:rPr>
                <w:rFonts w:eastAsia="仿宋_GB2312"/>
                <w:kern w:val="0"/>
                <w:szCs w:val="21"/>
              </w:rPr>
              <w:t>10</w:t>
            </w:r>
          </w:p>
        </w:tc>
        <w:tc>
          <w:tcPr>
            <w:tcW w:w="5664" w:type="dxa"/>
            <w:noWrap w:val="0"/>
            <w:vAlign w:val="center"/>
          </w:tcPr>
          <w:p>
            <w:pPr>
              <w:rPr>
                <w:rFonts w:eastAsia="仿宋_GB2312"/>
                <w:kern w:val="0"/>
                <w:szCs w:val="21"/>
              </w:rPr>
            </w:pPr>
            <w:r>
              <w:rPr>
                <w:rFonts w:eastAsia="仿宋_GB2312"/>
                <w:kern w:val="0"/>
                <w:szCs w:val="21"/>
              </w:rPr>
              <w:t>符合省级健康村建设标准比例达到10%得3分，比例达20%得6分，比例达30%以上得10分。</w:t>
            </w:r>
          </w:p>
        </w:tc>
        <w:tc>
          <w:tcPr>
            <w:tcW w:w="1478" w:type="dxa"/>
            <w:noWrap w:val="0"/>
            <w:vAlign w:val="center"/>
          </w:tcPr>
          <w:p>
            <w:pPr>
              <w:rPr>
                <w:rFonts w:eastAsia="仿宋_GB2312"/>
                <w:kern w:val="0"/>
                <w:szCs w:val="21"/>
              </w:rPr>
            </w:pPr>
          </w:p>
        </w:tc>
        <w:tc>
          <w:tcPr>
            <w:tcW w:w="984" w:type="dxa"/>
          </w:tcPr>
          <w:p>
            <w:pPr>
              <w:rPr>
                <w:rFonts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57" w:type="dxa"/>
            <w:bottom w:w="28" w:type="dxa"/>
            <w:right w:w="57" w:type="dxa"/>
          </w:tblCellMar>
        </w:tblPrEx>
        <w:trPr>
          <w:trHeight w:val="454" w:hRule="atLeast"/>
          <w:jc w:val="center"/>
        </w:trPr>
        <w:tc>
          <w:tcPr>
            <w:tcW w:w="1160" w:type="dxa"/>
            <w:vMerge w:val="restart"/>
            <w:noWrap w:val="0"/>
            <w:vAlign w:val="center"/>
          </w:tcPr>
          <w:p>
            <w:pPr>
              <w:rPr>
                <w:rFonts w:hint="eastAsia" w:ascii="黑体" w:hAnsi="黑体" w:eastAsia="黑体" w:cs="黑体"/>
                <w:bCs/>
                <w:kern w:val="0"/>
                <w:szCs w:val="21"/>
              </w:rPr>
            </w:pPr>
            <w:r>
              <w:rPr>
                <w:rFonts w:hint="eastAsia" w:ascii="黑体" w:hAnsi="黑体" w:eastAsia="黑体" w:cs="黑体"/>
                <w:bCs/>
                <w:kern w:val="0"/>
                <w:szCs w:val="21"/>
              </w:rPr>
              <w:t>二、普及健康生活（17分）</w:t>
            </w:r>
          </w:p>
        </w:tc>
        <w:tc>
          <w:tcPr>
            <w:tcW w:w="1250" w:type="dxa"/>
            <w:vMerge w:val="restart"/>
            <w:noWrap w:val="0"/>
            <w:vAlign w:val="center"/>
          </w:tcPr>
          <w:p>
            <w:pPr>
              <w:rPr>
                <w:rFonts w:eastAsia="仿宋_GB2312"/>
                <w:kern w:val="0"/>
                <w:szCs w:val="21"/>
              </w:rPr>
            </w:pPr>
            <w:r>
              <w:rPr>
                <w:rFonts w:eastAsia="仿宋_GB2312"/>
                <w:kern w:val="0"/>
                <w:szCs w:val="21"/>
              </w:rPr>
              <w:t>4.开展健康教育</w:t>
            </w:r>
          </w:p>
        </w:tc>
        <w:tc>
          <w:tcPr>
            <w:tcW w:w="3299" w:type="dxa"/>
            <w:noWrap w:val="0"/>
            <w:vAlign w:val="center"/>
          </w:tcPr>
          <w:p>
            <w:pPr>
              <w:rPr>
                <w:rFonts w:eastAsia="仿宋_GB2312"/>
                <w:kern w:val="0"/>
                <w:szCs w:val="21"/>
              </w:rPr>
            </w:pPr>
            <w:r>
              <w:rPr>
                <w:rFonts w:eastAsia="仿宋_GB2312"/>
                <w:kern w:val="0"/>
                <w:szCs w:val="21"/>
              </w:rPr>
              <w:t>广泛开展健康教育和健康促进活动</w:t>
            </w:r>
          </w:p>
        </w:tc>
        <w:tc>
          <w:tcPr>
            <w:tcW w:w="678" w:type="dxa"/>
            <w:noWrap w:val="0"/>
            <w:vAlign w:val="center"/>
          </w:tcPr>
          <w:p>
            <w:pPr>
              <w:jc w:val="center"/>
              <w:rPr>
                <w:rFonts w:eastAsia="仿宋_GB2312"/>
                <w:kern w:val="0"/>
                <w:szCs w:val="21"/>
              </w:rPr>
            </w:pPr>
            <w:r>
              <w:rPr>
                <w:rFonts w:eastAsia="仿宋_GB2312"/>
                <w:kern w:val="0"/>
                <w:szCs w:val="21"/>
              </w:rPr>
              <w:t>2</w:t>
            </w:r>
          </w:p>
        </w:tc>
        <w:tc>
          <w:tcPr>
            <w:tcW w:w="5664" w:type="dxa"/>
            <w:noWrap w:val="0"/>
            <w:vAlign w:val="center"/>
          </w:tcPr>
          <w:p>
            <w:pPr>
              <w:rPr>
                <w:rFonts w:eastAsia="仿宋_GB2312"/>
                <w:kern w:val="0"/>
                <w:szCs w:val="21"/>
              </w:rPr>
            </w:pPr>
            <w:r>
              <w:rPr>
                <w:rFonts w:eastAsia="仿宋_GB2312"/>
                <w:kern w:val="0"/>
                <w:szCs w:val="21"/>
              </w:rPr>
              <w:t>现场抽查机关、企事业单位、社区、医院、学校等2家单位，是否以《中国公民健康素养—基本知识与技能》为主要内容开展健康教育活动，每发现1项工作未按规定开展或每发现1个问题，扣0.2分。</w:t>
            </w:r>
          </w:p>
        </w:tc>
        <w:tc>
          <w:tcPr>
            <w:tcW w:w="1478" w:type="dxa"/>
            <w:noWrap w:val="0"/>
            <w:vAlign w:val="center"/>
          </w:tcPr>
          <w:p>
            <w:pPr>
              <w:rPr>
                <w:rFonts w:eastAsia="仿宋_GB2312"/>
                <w:kern w:val="0"/>
                <w:szCs w:val="21"/>
              </w:rPr>
            </w:pPr>
          </w:p>
        </w:tc>
        <w:tc>
          <w:tcPr>
            <w:tcW w:w="984" w:type="dxa"/>
          </w:tcPr>
          <w:p>
            <w:pPr>
              <w:rPr>
                <w:rFonts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57" w:type="dxa"/>
            <w:bottom w:w="28" w:type="dxa"/>
            <w:right w:w="57" w:type="dxa"/>
          </w:tblCellMar>
        </w:tblPrEx>
        <w:trPr>
          <w:trHeight w:val="454" w:hRule="atLeast"/>
          <w:jc w:val="center"/>
        </w:trPr>
        <w:tc>
          <w:tcPr>
            <w:tcW w:w="1160" w:type="dxa"/>
            <w:vMerge w:val="continue"/>
            <w:noWrap w:val="0"/>
            <w:vAlign w:val="center"/>
          </w:tcPr>
          <w:p>
            <w:pPr>
              <w:rPr>
                <w:rFonts w:hint="eastAsia" w:ascii="黑体" w:hAnsi="黑体" w:eastAsia="黑体" w:cs="黑体"/>
                <w:bCs/>
                <w:kern w:val="0"/>
                <w:szCs w:val="21"/>
              </w:rPr>
            </w:pPr>
          </w:p>
        </w:tc>
        <w:tc>
          <w:tcPr>
            <w:tcW w:w="1250" w:type="dxa"/>
            <w:vMerge w:val="continue"/>
            <w:noWrap w:val="0"/>
            <w:vAlign w:val="center"/>
          </w:tcPr>
          <w:p>
            <w:pPr>
              <w:rPr>
                <w:rFonts w:eastAsia="仿宋_GB2312"/>
                <w:kern w:val="0"/>
                <w:szCs w:val="21"/>
              </w:rPr>
            </w:pPr>
          </w:p>
        </w:tc>
        <w:tc>
          <w:tcPr>
            <w:tcW w:w="3299" w:type="dxa"/>
            <w:noWrap w:val="0"/>
            <w:vAlign w:val="center"/>
          </w:tcPr>
          <w:p>
            <w:pPr>
              <w:rPr>
                <w:rFonts w:eastAsia="仿宋_GB2312"/>
                <w:kern w:val="0"/>
                <w:szCs w:val="21"/>
              </w:rPr>
            </w:pPr>
            <w:r>
              <w:rPr>
                <w:rFonts w:eastAsia="仿宋_GB2312"/>
                <w:kern w:val="0"/>
                <w:szCs w:val="21"/>
              </w:rPr>
              <w:t>传统媒体、新媒体等平台开展健康知识宣传。</w:t>
            </w:r>
          </w:p>
        </w:tc>
        <w:tc>
          <w:tcPr>
            <w:tcW w:w="678" w:type="dxa"/>
            <w:noWrap w:val="0"/>
            <w:vAlign w:val="center"/>
          </w:tcPr>
          <w:p>
            <w:pPr>
              <w:jc w:val="center"/>
              <w:rPr>
                <w:rFonts w:eastAsia="仿宋_GB2312"/>
                <w:kern w:val="0"/>
                <w:szCs w:val="21"/>
              </w:rPr>
            </w:pPr>
            <w:r>
              <w:rPr>
                <w:rFonts w:eastAsia="仿宋_GB2312"/>
                <w:kern w:val="0"/>
                <w:szCs w:val="21"/>
              </w:rPr>
              <w:t>2</w:t>
            </w:r>
          </w:p>
        </w:tc>
        <w:tc>
          <w:tcPr>
            <w:tcW w:w="5664" w:type="dxa"/>
            <w:noWrap w:val="0"/>
            <w:vAlign w:val="center"/>
          </w:tcPr>
          <w:p>
            <w:pPr>
              <w:rPr>
                <w:rFonts w:eastAsia="仿宋_GB2312"/>
                <w:kern w:val="0"/>
                <w:szCs w:val="21"/>
              </w:rPr>
            </w:pPr>
            <w:r>
              <w:rPr>
                <w:rFonts w:eastAsia="仿宋_GB2312"/>
                <w:kern w:val="0"/>
                <w:szCs w:val="21"/>
              </w:rPr>
              <w:t>有利用广播、健康教育宣传栏、公众咨询、电子屏幕、讲座等传统媒体方式开展健康知识宣传，少1类扣0.2分；当地政府官方宣传平台两微一端、短视频等新媒体（至少选择2种）每月至少发布1期健康教育信息，每少1期扣0.2分。</w:t>
            </w:r>
          </w:p>
        </w:tc>
        <w:tc>
          <w:tcPr>
            <w:tcW w:w="1478" w:type="dxa"/>
            <w:noWrap w:val="0"/>
            <w:vAlign w:val="center"/>
          </w:tcPr>
          <w:p>
            <w:pPr>
              <w:rPr>
                <w:rFonts w:eastAsia="仿宋_GB2312"/>
                <w:kern w:val="0"/>
                <w:szCs w:val="21"/>
              </w:rPr>
            </w:pPr>
          </w:p>
        </w:tc>
        <w:tc>
          <w:tcPr>
            <w:tcW w:w="984" w:type="dxa"/>
          </w:tcPr>
          <w:p>
            <w:pPr>
              <w:rPr>
                <w:rFonts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57" w:type="dxa"/>
            <w:bottom w:w="28" w:type="dxa"/>
            <w:right w:w="57" w:type="dxa"/>
          </w:tblCellMar>
        </w:tblPrEx>
        <w:trPr>
          <w:trHeight w:val="454" w:hRule="atLeast"/>
          <w:jc w:val="center"/>
        </w:trPr>
        <w:tc>
          <w:tcPr>
            <w:tcW w:w="1160" w:type="dxa"/>
            <w:vMerge w:val="continue"/>
            <w:noWrap w:val="0"/>
            <w:vAlign w:val="center"/>
          </w:tcPr>
          <w:p>
            <w:pPr>
              <w:rPr>
                <w:rFonts w:hint="eastAsia" w:ascii="黑体" w:hAnsi="黑体" w:eastAsia="黑体" w:cs="黑体"/>
                <w:bCs/>
                <w:kern w:val="0"/>
                <w:szCs w:val="21"/>
              </w:rPr>
            </w:pPr>
          </w:p>
        </w:tc>
        <w:tc>
          <w:tcPr>
            <w:tcW w:w="1250" w:type="dxa"/>
            <w:vMerge w:val="continue"/>
            <w:noWrap w:val="0"/>
            <w:vAlign w:val="center"/>
          </w:tcPr>
          <w:p>
            <w:pPr>
              <w:rPr>
                <w:rFonts w:eastAsia="仿宋_GB2312"/>
                <w:kern w:val="0"/>
                <w:szCs w:val="21"/>
              </w:rPr>
            </w:pPr>
          </w:p>
        </w:tc>
        <w:tc>
          <w:tcPr>
            <w:tcW w:w="3299" w:type="dxa"/>
            <w:noWrap w:val="0"/>
            <w:vAlign w:val="center"/>
          </w:tcPr>
          <w:p>
            <w:pPr>
              <w:rPr>
                <w:rFonts w:eastAsia="仿宋_GB2312"/>
                <w:kern w:val="0"/>
                <w:szCs w:val="21"/>
              </w:rPr>
            </w:pPr>
            <w:r>
              <w:rPr>
                <w:rFonts w:eastAsia="仿宋_GB2312"/>
                <w:kern w:val="0"/>
                <w:szCs w:val="21"/>
              </w:rPr>
              <w:t>健康素养进文化礼堂覆盖率100%</w:t>
            </w:r>
          </w:p>
        </w:tc>
        <w:tc>
          <w:tcPr>
            <w:tcW w:w="678" w:type="dxa"/>
            <w:noWrap w:val="0"/>
            <w:vAlign w:val="center"/>
          </w:tcPr>
          <w:p>
            <w:pPr>
              <w:jc w:val="center"/>
              <w:rPr>
                <w:rFonts w:eastAsia="仿宋_GB2312"/>
                <w:kern w:val="0"/>
                <w:szCs w:val="21"/>
              </w:rPr>
            </w:pPr>
            <w:r>
              <w:rPr>
                <w:rFonts w:eastAsia="仿宋_GB2312"/>
                <w:kern w:val="0"/>
                <w:szCs w:val="21"/>
              </w:rPr>
              <w:t>3</w:t>
            </w:r>
          </w:p>
        </w:tc>
        <w:tc>
          <w:tcPr>
            <w:tcW w:w="5664" w:type="dxa"/>
            <w:noWrap w:val="0"/>
            <w:vAlign w:val="center"/>
          </w:tcPr>
          <w:p>
            <w:pPr>
              <w:rPr>
                <w:rFonts w:eastAsia="仿宋_GB2312"/>
                <w:kern w:val="0"/>
                <w:szCs w:val="21"/>
              </w:rPr>
            </w:pPr>
            <w:r>
              <w:rPr>
                <w:rFonts w:eastAsia="仿宋_GB2312"/>
                <w:kern w:val="0"/>
                <w:szCs w:val="21"/>
              </w:rPr>
              <w:t>健康素养进文化礼堂覆盖率未达到100%，每下降5个百分点扣1分，扣完为止。</w:t>
            </w:r>
          </w:p>
          <w:p>
            <w:pPr>
              <w:rPr>
                <w:rFonts w:eastAsia="仿宋_GB2312"/>
                <w:kern w:val="0"/>
                <w:szCs w:val="21"/>
              </w:rPr>
            </w:pPr>
            <w:r>
              <w:rPr>
                <w:rFonts w:eastAsia="仿宋_GB2312"/>
                <w:kern w:val="0"/>
                <w:szCs w:val="21"/>
              </w:rPr>
              <w:t>现场查看2个村文化礼堂，未规范开展专题讲座、健康服务、健康活动等，每发现1个问题，扣0.5分，扣完为止。</w:t>
            </w:r>
          </w:p>
        </w:tc>
        <w:tc>
          <w:tcPr>
            <w:tcW w:w="1478" w:type="dxa"/>
            <w:noWrap w:val="0"/>
            <w:vAlign w:val="center"/>
          </w:tcPr>
          <w:p>
            <w:pPr>
              <w:rPr>
                <w:rFonts w:eastAsia="仿宋_GB2312"/>
                <w:kern w:val="0"/>
                <w:szCs w:val="21"/>
              </w:rPr>
            </w:pPr>
          </w:p>
        </w:tc>
        <w:tc>
          <w:tcPr>
            <w:tcW w:w="984" w:type="dxa"/>
          </w:tcPr>
          <w:p>
            <w:pPr>
              <w:rPr>
                <w:rFonts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57" w:type="dxa"/>
            <w:bottom w:w="28" w:type="dxa"/>
            <w:right w:w="57" w:type="dxa"/>
          </w:tblCellMar>
        </w:tblPrEx>
        <w:trPr>
          <w:trHeight w:val="454" w:hRule="atLeast"/>
          <w:jc w:val="center"/>
        </w:trPr>
        <w:tc>
          <w:tcPr>
            <w:tcW w:w="1160" w:type="dxa"/>
            <w:vMerge w:val="continue"/>
            <w:noWrap w:val="0"/>
            <w:vAlign w:val="center"/>
          </w:tcPr>
          <w:p>
            <w:pPr>
              <w:rPr>
                <w:rFonts w:hint="eastAsia" w:ascii="黑体" w:hAnsi="黑体" w:eastAsia="黑体" w:cs="黑体"/>
                <w:bCs/>
                <w:kern w:val="0"/>
                <w:szCs w:val="21"/>
              </w:rPr>
            </w:pPr>
          </w:p>
        </w:tc>
        <w:tc>
          <w:tcPr>
            <w:tcW w:w="1250" w:type="dxa"/>
            <w:vMerge w:val="restart"/>
            <w:noWrap w:val="0"/>
            <w:vAlign w:val="center"/>
          </w:tcPr>
          <w:p>
            <w:pPr>
              <w:rPr>
                <w:rFonts w:eastAsia="仿宋_GB2312"/>
                <w:kern w:val="0"/>
                <w:szCs w:val="21"/>
              </w:rPr>
            </w:pPr>
            <w:r>
              <w:rPr>
                <w:rFonts w:eastAsia="仿宋_GB2312"/>
                <w:kern w:val="0"/>
                <w:szCs w:val="21"/>
              </w:rPr>
              <w:t>5.促进健康行为</w:t>
            </w:r>
          </w:p>
        </w:tc>
        <w:tc>
          <w:tcPr>
            <w:tcW w:w="3299" w:type="dxa"/>
            <w:noWrap w:val="0"/>
            <w:vAlign w:val="center"/>
          </w:tcPr>
          <w:p>
            <w:pPr>
              <w:rPr>
                <w:rFonts w:eastAsia="仿宋_GB2312"/>
                <w:kern w:val="0"/>
                <w:szCs w:val="21"/>
              </w:rPr>
            </w:pPr>
            <w:r>
              <w:rPr>
                <w:rFonts w:eastAsia="仿宋_GB2312"/>
                <w:kern w:val="0"/>
                <w:szCs w:val="21"/>
              </w:rPr>
              <w:t>培育健康生活方式，推进“公筷公勺”使用</w:t>
            </w:r>
          </w:p>
        </w:tc>
        <w:tc>
          <w:tcPr>
            <w:tcW w:w="678" w:type="dxa"/>
            <w:noWrap w:val="0"/>
            <w:vAlign w:val="center"/>
          </w:tcPr>
          <w:p>
            <w:pPr>
              <w:jc w:val="center"/>
              <w:rPr>
                <w:rFonts w:eastAsia="仿宋_GB2312"/>
                <w:kern w:val="0"/>
                <w:szCs w:val="21"/>
              </w:rPr>
            </w:pPr>
            <w:r>
              <w:rPr>
                <w:rFonts w:eastAsia="仿宋_GB2312"/>
                <w:kern w:val="0"/>
                <w:szCs w:val="21"/>
              </w:rPr>
              <w:t>3</w:t>
            </w:r>
          </w:p>
        </w:tc>
        <w:tc>
          <w:tcPr>
            <w:tcW w:w="5664" w:type="dxa"/>
            <w:noWrap w:val="0"/>
            <w:vAlign w:val="center"/>
          </w:tcPr>
          <w:p>
            <w:pPr>
              <w:rPr>
                <w:rFonts w:eastAsia="仿宋_GB2312"/>
                <w:kern w:val="0"/>
                <w:szCs w:val="21"/>
              </w:rPr>
            </w:pPr>
            <w:r>
              <w:rPr>
                <w:rFonts w:eastAsia="仿宋_GB2312"/>
                <w:kern w:val="0"/>
                <w:szCs w:val="21"/>
              </w:rPr>
              <w:t>餐饮单位、家宴中心、集体聚餐等公筷公勺配备率达到100%，每低10个百分点，扣0.5分。</w:t>
            </w:r>
          </w:p>
          <w:p>
            <w:pPr>
              <w:rPr>
                <w:rFonts w:eastAsia="仿宋_GB2312"/>
                <w:kern w:val="0"/>
                <w:szCs w:val="21"/>
              </w:rPr>
            </w:pPr>
            <w:r>
              <w:rPr>
                <w:rFonts w:eastAsia="仿宋_GB2312"/>
                <w:kern w:val="0"/>
                <w:szCs w:val="21"/>
              </w:rPr>
              <w:t>现场抽查3家三星级及以上宾馆、大中型酒店、三星级及以上农家乐、民宿、机关事业单位食堂、家宴中心等场所</w:t>
            </w:r>
            <w:r>
              <w:rPr>
                <w:rFonts w:hint="eastAsia" w:eastAsia="仿宋_GB2312"/>
                <w:kern w:val="0"/>
                <w:szCs w:val="21"/>
              </w:rPr>
              <w:t>，</w:t>
            </w:r>
            <w:r>
              <w:rPr>
                <w:rFonts w:eastAsia="仿宋_GB2312"/>
                <w:kern w:val="0"/>
                <w:szCs w:val="21"/>
              </w:rPr>
              <w:t>未在显著位置开展倡导勤洗手、健康饮食、餐饮浪费、节约粮食、滥食野生动物及“公筷公勺”使用等宣传的，每发现一个场所扣0.5分；未配备、未使用“公筷公勺”的，每个场所扣0.5分。</w:t>
            </w:r>
          </w:p>
        </w:tc>
        <w:tc>
          <w:tcPr>
            <w:tcW w:w="1478" w:type="dxa"/>
            <w:noWrap w:val="0"/>
            <w:vAlign w:val="center"/>
          </w:tcPr>
          <w:p>
            <w:pPr>
              <w:rPr>
                <w:rFonts w:eastAsia="仿宋_GB2312"/>
                <w:kern w:val="0"/>
                <w:szCs w:val="21"/>
              </w:rPr>
            </w:pPr>
          </w:p>
        </w:tc>
        <w:tc>
          <w:tcPr>
            <w:tcW w:w="984" w:type="dxa"/>
          </w:tcPr>
          <w:p>
            <w:pPr>
              <w:rPr>
                <w:rFonts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57" w:type="dxa"/>
            <w:bottom w:w="28" w:type="dxa"/>
            <w:right w:w="57" w:type="dxa"/>
          </w:tblCellMar>
        </w:tblPrEx>
        <w:trPr>
          <w:trHeight w:val="454" w:hRule="atLeast"/>
          <w:jc w:val="center"/>
        </w:trPr>
        <w:tc>
          <w:tcPr>
            <w:tcW w:w="1160" w:type="dxa"/>
            <w:vMerge w:val="continue"/>
            <w:noWrap w:val="0"/>
            <w:vAlign w:val="center"/>
          </w:tcPr>
          <w:p>
            <w:pPr>
              <w:rPr>
                <w:rFonts w:hint="eastAsia" w:ascii="黑体" w:hAnsi="黑体" w:eastAsia="黑体" w:cs="黑体"/>
                <w:bCs/>
                <w:kern w:val="0"/>
                <w:szCs w:val="21"/>
              </w:rPr>
            </w:pPr>
          </w:p>
        </w:tc>
        <w:tc>
          <w:tcPr>
            <w:tcW w:w="1250" w:type="dxa"/>
            <w:vMerge w:val="continue"/>
            <w:noWrap w:val="0"/>
            <w:vAlign w:val="center"/>
          </w:tcPr>
          <w:p>
            <w:pPr>
              <w:rPr>
                <w:rFonts w:eastAsia="仿宋_GB2312"/>
                <w:kern w:val="0"/>
                <w:szCs w:val="21"/>
              </w:rPr>
            </w:pPr>
          </w:p>
        </w:tc>
        <w:tc>
          <w:tcPr>
            <w:tcW w:w="3299" w:type="dxa"/>
            <w:noWrap w:val="0"/>
            <w:vAlign w:val="center"/>
          </w:tcPr>
          <w:p>
            <w:pPr>
              <w:rPr>
                <w:rFonts w:eastAsia="仿宋_GB2312"/>
                <w:kern w:val="0"/>
                <w:szCs w:val="21"/>
              </w:rPr>
            </w:pPr>
            <w:r>
              <w:rPr>
                <w:rFonts w:eastAsia="仿宋_GB2312"/>
                <w:kern w:val="0"/>
                <w:szCs w:val="21"/>
              </w:rPr>
              <w:t>重点场所全面禁烟，无烟党政机关建成率100%</w:t>
            </w:r>
          </w:p>
        </w:tc>
        <w:tc>
          <w:tcPr>
            <w:tcW w:w="678" w:type="dxa"/>
            <w:noWrap w:val="0"/>
            <w:vAlign w:val="center"/>
          </w:tcPr>
          <w:p>
            <w:pPr>
              <w:jc w:val="center"/>
              <w:rPr>
                <w:rFonts w:eastAsia="仿宋_GB2312"/>
                <w:kern w:val="0"/>
                <w:szCs w:val="21"/>
              </w:rPr>
            </w:pPr>
            <w:r>
              <w:rPr>
                <w:rFonts w:eastAsia="仿宋_GB2312"/>
                <w:kern w:val="0"/>
                <w:szCs w:val="21"/>
              </w:rPr>
              <w:t>3</w:t>
            </w:r>
          </w:p>
        </w:tc>
        <w:tc>
          <w:tcPr>
            <w:tcW w:w="5664" w:type="dxa"/>
            <w:noWrap w:val="0"/>
            <w:vAlign w:val="center"/>
          </w:tcPr>
          <w:p>
            <w:pPr>
              <w:rPr>
                <w:rFonts w:eastAsia="仿宋_GB2312"/>
                <w:kern w:val="0"/>
                <w:szCs w:val="21"/>
              </w:rPr>
            </w:pPr>
            <w:r>
              <w:rPr>
                <w:rFonts w:eastAsia="仿宋_GB2312"/>
                <w:kern w:val="0"/>
                <w:szCs w:val="21"/>
              </w:rPr>
              <w:t>抽查室内公共场所、工作场所、公共交通工具及游乐场、学校等青少年、儿童集中户外场所5家，发现无禁烟标识、有人员抽烟、无人员劝导等情况的，每发现1家扣0.5分。</w:t>
            </w:r>
          </w:p>
          <w:p>
            <w:pPr>
              <w:rPr>
                <w:rFonts w:eastAsia="仿宋_GB2312"/>
                <w:kern w:val="0"/>
                <w:szCs w:val="21"/>
              </w:rPr>
            </w:pPr>
            <w:r>
              <w:rPr>
                <w:rFonts w:eastAsia="仿宋_GB2312"/>
                <w:kern w:val="0"/>
                <w:szCs w:val="21"/>
              </w:rPr>
              <w:t>无烟党政机关建成率未达到100%，每下降一个百分点扣0.5分；现场抽查2家党政机关，每发现1家未按规定做到禁烟的，扣1分，扣完为止。</w:t>
            </w:r>
          </w:p>
        </w:tc>
        <w:tc>
          <w:tcPr>
            <w:tcW w:w="1478" w:type="dxa"/>
            <w:noWrap w:val="0"/>
            <w:vAlign w:val="center"/>
          </w:tcPr>
          <w:p>
            <w:pPr>
              <w:rPr>
                <w:rFonts w:eastAsia="仿宋_GB2312"/>
                <w:kern w:val="0"/>
                <w:szCs w:val="21"/>
              </w:rPr>
            </w:pPr>
          </w:p>
        </w:tc>
        <w:tc>
          <w:tcPr>
            <w:tcW w:w="984" w:type="dxa"/>
          </w:tcPr>
          <w:p>
            <w:pPr>
              <w:rPr>
                <w:rFonts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57" w:type="dxa"/>
            <w:bottom w:w="28" w:type="dxa"/>
            <w:right w:w="57" w:type="dxa"/>
          </w:tblCellMar>
        </w:tblPrEx>
        <w:trPr>
          <w:trHeight w:val="454" w:hRule="atLeast"/>
          <w:jc w:val="center"/>
        </w:trPr>
        <w:tc>
          <w:tcPr>
            <w:tcW w:w="1160" w:type="dxa"/>
            <w:vMerge w:val="continue"/>
            <w:noWrap w:val="0"/>
            <w:vAlign w:val="center"/>
          </w:tcPr>
          <w:p>
            <w:pPr>
              <w:rPr>
                <w:rFonts w:hint="eastAsia" w:ascii="黑体" w:hAnsi="黑体" w:eastAsia="黑体" w:cs="黑体"/>
                <w:bCs/>
                <w:kern w:val="0"/>
                <w:szCs w:val="21"/>
              </w:rPr>
            </w:pPr>
          </w:p>
        </w:tc>
        <w:tc>
          <w:tcPr>
            <w:tcW w:w="1250" w:type="dxa"/>
            <w:vMerge w:val="restart"/>
            <w:noWrap w:val="0"/>
            <w:vAlign w:val="center"/>
          </w:tcPr>
          <w:p>
            <w:pPr>
              <w:rPr>
                <w:rFonts w:eastAsia="仿宋_GB2312"/>
                <w:kern w:val="0"/>
                <w:szCs w:val="21"/>
              </w:rPr>
            </w:pPr>
            <w:r>
              <w:rPr>
                <w:rFonts w:eastAsia="仿宋_GB2312"/>
                <w:kern w:val="0"/>
                <w:szCs w:val="21"/>
              </w:rPr>
              <w:t>6.推进全民健身</w:t>
            </w:r>
          </w:p>
        </w:tc>
        <w:tc>
          <w:tcPr>
            <w:tcW w:w="3299" w:type="dxa"/>
            <w:noWrap w:val="0"/>
            <w:vAlign w:val="center"/>
          </w:tcPr>
          <w:p>
            <w:pPr>
              <w:rPr>
                <w:rFonts w:eastAsia="仿宋_GB2312"/>
                <w:kern w:val="0"/>
                <w:szCs w:val="21"/>
              </w:rPr>
            </w:pPr>
            <w:r>
              <w:rPr>
                <w:rFonts w:eastAsia="仿宋_GB2312"/>
                <w:kern w:val="0"/>
                <w:szCs w:val="21"/>
              </w:rPr>
              <w:t>建设公共健身场所，推广全民健身运动。</w:t>
            </w:r>
          </w:p>
        </w:tc>
        <w:tc>
          <w:tcPr>
            <w:tcW w:w="678" w:type="dxa"/>
            <w:noWrap w:val="0"/>
            <w:vAlign w:val="center"/>
          </w:tcPr>
          <w:p>
            <w:pPr>
              <w:jc w:val="center"/>
              <w:rPr>
                <w:rFonts w:eastAsia="仿宋_GB2312"/>
                <w:kern w:val="0"/>
                <w:szCs w:val="21"/>
              </w:rPr>
            </w:pPr>
            <w:r>
              <w:rPr>
                <w:rFonts w:eastAsia="仿宋_GB2312"/>
                <w:kern w:val="0"/>
                <w:szCs w:val="21"/>
              </w:rPr>
              <w:t>3</w:t>
            </w:r>
          </w:p>
        </w:tc>
        <w:tc>
          <w:tcPr>
            <w:tcW w:w="5664" w:type="dxa"/>
            <w:noWrap w:val="0"/>
            <w:vAlign w:val="center"/>
          </w:tcPr>
          <w:p>
            <w:pPr>
              <w:rPr>
                <w:rFonts w:eastAsia="仿宋_GB2312"/>
                <w:kern w:val="0"/>
                <w:szCs w:val="21"/>
              </w:rPr>
            </w:pPr>
            <w:r>
              <w:rPr>
                <w:rFonts w:eastAsia="仿宋_GB2312"/>
                <w:kern w:val="0"/>
                <w:szCs w:val="21"/>
              </w:rPr>
              <w:t>抽查室内及室外公共健身场所各1家，每少1家扣0.5分，最多扣1分；未开展全民健身运动会或4个以上单项体育比赛的扣1分；群众体育团队每少于1支扣0.3分,最多扣1分。</w:t>
            </w:r>
          </w:p>
        </w:tc>
        <w:tc>
          <w:tcPr>
            <w:tcW w:w="1478" w:type="dxa"/>
            <w:noWrap w:val="0"/>
            <w:vAlign w:val="center"/>
          </w:tcPr>
          <w:p>
            <w:pPr>
              <w:rPr>
                <w:rFonts w:eastAsia="仿宋_GB2312"/>
                <w:kern w:val="0"/>
                <w:szCs w:val="21"/>
              </w:rPr>
            </w:pPr>
          </w:p>
        </w:tc>
        <w:tc>
          <w:tcPr>
            <w:tcW w:w="984" w:type="dxa"/>
          </w:tcPr>
          <w:p>
            <w:pPr>
              <w:rPr>
                <w:rFonts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57" w:type="dxa"/>
            <w:bottom w:w="28" w:type="dxa"/>
            <w:right w:w="57" w:type="dxa"/>
          </w:tblCellMar>
        </w:tblPrEx>
        <w:trPr>
          <w:trHeight w:val="454" w:hRule="atLeast"/>
          <w:jc w:val="center"/>
        </w:trPr>
        <w:tc>
          <w:tcPr>
            <w:tcW w:w="1160" w:type="dxa"/>
            <w:vMerge w:val="continue"/>
            <w:noWrap w:val="0"/>
            <w:vAlign w:val="center"/>
          </w:tcPr>
          <w:p>
            <w:pPr>
              <w:rPr>
                <w:rFonts w:hint="eastAsia" w:ascii="黑体" w:hAnsi="黑体" w:eastAsia="黑体" w:cs="黑体"/>
                <w:bCs/>
                <w:kern w:val="0"/>
                <w:szCs w:val="21"/>
              </w:rPr>
            </w:pPr>
          </w:p>
        </w:tc>
        <w:tc>
          <w:tcPr>
            <w:tcW w:w="1250" w:type="dxa"/>
            <w:vMerge w:val="continue"/>
            <w:noWrap w:val="0"/>
            <w:vAlign w:val="center"/>
          </w:tcPr>
          <w:p>
            <w:pPr>
              <w:rPr>
                <w:rFonts w:eastAsia="仿宋_GB2312"/>
                <w:kern w:val="0"/>
                <w:szCs w:val="21"/>
              </w:rPr>
            </w:pPr>
          </w:p>
        </w:tc>
        <w:tc>
          <w:tcPr>
            <w:tcW w:w="3299" w:type="dxa"/>
            <w:noWrap w:val="0"/>
            <w:vAlign w:val="center"/>
          </w:tcPr>
          <w:p>
            <w:pPr>
              <w:rPr>
                <w:rFonts w:eastAsia="仿宋_GB2312"/>
                <w:kern w:val="0"/>
                <w:szCs w:val="21"/>
              </w:rPr>
            </w:pPr>
            <w:r>
              <w:rPr>
                <w:rFonts w:eastAsia="仿宋_GB2312"/>
                <w:kern w:val="0"/>
                <w:szCs w:val="21"/>
              </w:rPr>
              <w:t>学生体质健康标准达标优良率达到50%以上</w:t>
            </w:r>
          </w:p>
        </w:tc>
        <w:tc>
          <w:tcPr>
            <w:tcW w:w="678" w:type="dxa"/>
            <w:noWrap w:val="0"/>
            <w:vAlign w:val="center"/>
          </w:tcPr>
          <w:p>
            <w:pPr>
              <w:jc w:val="center"/>
              <w:rPr>
                <w:rFonts w:eastAsia="仿宋_GB2312"/>
                <w:kern w:val="0"/>
                <w:szCs w:val="21"/>
              </w:rPr>
            </w:pPr>
            <w:r>
              <w:rPr>
                <w:rFonts w:eastAsia="仿宋_GB2312"/>
                <w:kern w:val="0"/>
                <w:szCs w:val="21"/>
              </w:rPr>
              <w:t>1</w:t>
            </w:r>
          </w:p>
        </w:tc>
        <w:tc>
          <w:tcPr>
            <w:tcW w:w="5664" w:type="dxa"/>
            <w:noWrap w:val="0"/>
            <w:vAlign w:val="center"/>
          </w:tcPr>
          <w:p>
            <w:pPr>
              <w:rPr>
                <w:rFonts w:eastAsia="仿宋_GB2312"/>
                <w:kern w:val="0"/>
                <w:szCs w:val="21"/>
              </w:rPr>
            </w:pPr>
            <w:r>
              <w:rPr>
                <w:rFonts w:eastAsia="仿宋_GB2312"/>
                <w:kern w:val="0"/>
                <w:szCs w:val="21"/>
              </w:rPr>
              <w:t>按照《国家学生体质健康标准》，学年体质综合评定总分在80分以上的学生数占参加评定学生总人数的比率达到50%的，得1分；学生体质健康标准达标优良率未达到50%以上，</w:t>
            </w:r>
            <w:r>
              <w:rPr>
                <w:rFonts w:hint="eastAsia" w:eastAsia="仿宋_GB2312"/>
                <w:kern w:val="0"/>
                <w:szCs w:val="21"/>
              </w:rPr>
              <w:t>该项不得分</w:t>
            </w:r>
            <w:r>
              <w:rPr>
                <w:rFonts w:eastAsia="仿宋_GB2312"/>
                <w:kern w:val="0"/>
                <w:szCs w:val="21"/>
              </w:rPr>
              <w:t>。</w:t>
            </w:r>
          </w:p>
        </w:tc>
        <w:tc>
          <w:tcPr>
            <w:tcW w:w="1478" w:type="dxa"/>
            <w:noWrap w:val="0"/>
            <w:vAlign w:val="center"/>
          </w:tcPr>
          <w:p>
            <w:pPr>
              <w:rPr>
                <w:rFonts w:eastAsia="仿宋_GB2312"/>
                <w:kern w:val="0"/>
                <w:szCs w:val="21"/>
              </w:rPr>
            </w:pPr>
          </w:p>
        </w:tc>
        <w:tc>
          <w:tcPr>
            <w:tcW w:w="984" w:type="dxa"/>
          </w:tcPr>
          <w:p>
            <w:pPr>
              <w:rPr>
                <w:rFonts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57" w:type="dxa"/>
            <w:bottom w:w="28" w:type="dxa"/>
            <w:right w:w="57" w:type="dxa"/>
          </w:tblCellMar>
        </w:tblPrEx>
        <w:trPr>
          <w:trHeight w:val="454" w:hRule="atLeast"/>
          <w:jc w:val="center"/>
        </w:trPr>
        <w:tc>
          <w:tcPr>
            <w:tcW w:w="1160" w:type="dxa"/>
            <w:vMerge w:val="restart"/>
            <w:noWrap w:val="0"/>
            <w:vAlign w:val="center"/>
          </w:tcPr>
          <w:p>
            <w:pPr>
              <w:widowControl/>
              <w:textAlignment w:val="center"/>
              <w:rPr>
                <w:rFonts w:hint="eastAsia" w:ascii="黑体" w:hAnsi="黑体" w:eastAsia="黑体" w:cs="黑体"/>
                <w:bCs/>
                <w:color w:val="000000"/>
                <w:kern w:val="0"/>
                <w:szCs w:val="21"/>
              </w:rPr>
            </w:pPr>
            <w:r>
              <w:rPr>
                <w:rFonts w:hint="eastAsia" w:ascii="黑体" w:hAnsi="黑体" w:eastAsia="黑体" w:cs="黑体"/>
                <w:bCs/>
                <w:kern w:val="0"/>
                <w:szCs w:val="21"/>
              </w:rPr>
              <w:t>三、优化健康服务（17分）</w:t>
            </w:r>
          </w:p>
        </w:tc>
        <w:tc>
          <w:tcPr>
            <w:tcW w:w="1250" w:type="dxa"/>
            <w:vMerge w:val="restart"/>
            <w:noWrap w:val="0"/>
            <w:vAlign w:val="center"/>
          </w:tcPr>
          <w:p>
            <w:pPr>
              <w:rPr>
                <w:rFonts w:eastAsia="仿宋_GB2312"/>
                <w:color w:val="000000"/>
                <w:kern w:val="0"/>
                <w:szCs w:val="21"/>
              </w:rPr>
            </w:pPr>
            <w:r>
              <w:rPr>
                <w:rFonts w:eastAsia="仿宋_GB2312"/>
                <w:color w:val="000000"/>
                <w:kern w:val="0"/>
                <w:szCs w:val="21"/>
              </w:rPr>
              <w:t>7.强化公共卫生服务</w:t>
            </w:r>
          </w:p>
        </w:tc>
        <w:tc>
          <w:tcPr>
            <w:tcW w:w="3299" w:type="dxa"/>
            <w:noWrap w:val="0"/>
            <w:vAlign w:val="center"/>
          </w:tcPr>
          <w:p>
            <w:pPr>
              <w:widowControl/>
              <w:textAlignment w:val="center"/>
              <w:rPr>
                <w:rFonts w:eastAsia="仿宋_GB2312"/>
                <w:b/>
                <w:kern w:val="0"/>
                <w:szCs w:val="21"/>
              </w:rPr>
            </w:pPr>
            <w:r>
              <w:rPr>
                <w:rFonts w:eastAsia="仿宋_GB2312"/>
                <w:kern w:val="0"/>
                <w:szCs w:val="21"/>
              </w:rPr>
              <w:t>加强基层公共卫生体系建设</w:t>
            </w:r>
          </w:p>
        </w:tc>
        <w:tc>
          <w:tcPr>
            <w:tcW w:w="678" w:type="dxa"/>
            <w:noWrap w:val="0"/>
            <w:vAlign w:val="center"/>
          </w:tcPr>
          <w:p>
            <w:pPr>
              <w:widowControl/>
              <w:jc w:val="center"/>
              <w:textAlignment w:val="center"/>
              <w:rPr>
                <w:rFonts w:eastAsia="仿宋_GB2312"/>
                <w:kern w:val="0"/>
                <w:szCs w:val="21"/>
              </w:rPr>
            </w:pPr>
            <w:r>
              <w:rPr>
                <w:rFonts w:eastAsia="仿宋_GB2312"/>
                <w:kern w:val="0"/>
                <w:szCs w:val="21"/>
              </w:rPr>
              <w:t>2</w:t>
            </w:r>
          </w:p>
        </w:tc>
        <w:tc>
          <w:tcPr>
            <w:tcW w:w="5664" w:type="dxa"/>
            <w:noWrap w:val="0"/>
            <w:vAlign w:val="center"/>
          </w:tcPr>
          <w:p>
            <w:pPr>
              <w:widowControl/>
              <w:textAlignment w:val="center"/>
              <w:rPr>
                <w:rFonts w:eastAsia="仿宋_GB2312"/>
                <w:kern w:val="0"/>
                <w:szCs w:val="21"/>
              </w:rPr>
            </w:pPr>
            <w:r>
              <w:rPr>
                <w:rFonts w:eastAsia="仿宋_GB2312"/>
                <w:kern w:val="0"/>
                <w:szCs w:val="21"/>
              </w:rPr>
              <w:t>现场检查乡镇卫生院（社区卫生服务中心），业务用房、设施设备、人员队伍建设，每1项不符合要求的，扣0.5分；未建成基层哨点或因基层哨点作用发挥不到位，导致疫情扩散的，该项不得分。</w:t>
            </w:r>
          </w:p>
        </w:tc>
        <w:tc>
          <w:tcPr>
            <w:tcW w:w="1478" w:type="dxa"/>
            <w:noWrap w:val="0"/>
            <w:vAlign w:val="center"/>
          </w:tcPr>
          <w:p>
            <w:pPr>
              <w:widowControl/>
              <w:textAlignment w:val="center"/>
              <w:rPr>
                <w:rFonts w:eastAsia="仿宋_GB2312"/>
                <w:kern w:val="0"/>
                <w:szCs w:val="21"/>
              </w:rPr>
            </w:pPr>
          </w:p>
        </w:tc>
        <w:tc>
          <w:tcPr>
            <w:tcW w:w="984" w:type="dxa"/>
          </w:tcPr>
          <w:p>
            <w:pPr>
              <w:widowControl/>
              <w:textAlignment w:val="center"/>
              <w:rPr>
                <w:rFonts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57" w:type="dxa"/>
            <w:bottom w:w="28" w:type="dxa"/>
            <w:right w:w="57" w:type="dxa"/>
          </w:tblCellMar>
        </w:tblPrEx>
        <w:trPr>
          <w:trHeight w:val="454" w:hRule="atLeast"/>
          <w:jc w:val="center"/>
        </w:trPr>
        <w:tc>
          <w:tcPr>
            <w:tcW w:w="1160" w:type="dxa"/>
            <w:vMerge w:val="continue"/>
            <w:noWrap w:val="0"/>
            <w:vAlign w:val="center"/>
          </w:tcPr>
          <w:p>
            <w:pPr>
              <w:widowControl/>
              <w:textAlignment w:val="center"/>
              <w:rPr>
                <w:rFonts w:hint="eastAsia" w:ascii="黑体" w:hAnsi="黑体" w:eastAsia="黑体" w:cs="黑体"/>
                <w:bCs/>
                <w:kern w:val="0"/>
                <w:szCs w:val="21"/>
                <w:highlight w:val="yellow"/>
              </w:rPr>
            </w:pPr>
          </w:p>
        </w:tc>
        <w:tc>
          <w:tcPr>
            <w:tcW w:w="1250" w:type="dxa"/>
            <w:vMerge w:val="continue"/>
            <w:noWrap w:val="0"/>
            <w:vAlign w:val="center"/>
          </w:tcPr>
          <w:p>
            <w:pPr>
              <w:rPr>
                <w:rFonts w:eastAsia="仿宋_GB2312"/>
                <w:color w:val="000000"/>
                <w:kern w:val="0"/>
                <w:szCs w:val="21"/>
              </w:rPr>
            </w:pPr>
          </w:p>
        </w:tc>
        <w:tc>
          <w:tcPr>
            <w:tcW w:w="3299" w:type="dxa"/>
            <w:noWrap w:val="0"/>
            <w:vAlign w:val="center"/>
          </w:tcPr>
          <w:p>
            <w:pPr>
              <w:widowControl/>
              <w:textAlignment w:val="center"/>
              <w:rPr>
                <w:rFonts w:eastAsia="仿宋_GB2312"/>
                <w:kern w:val="0"/>
                <w:szCs w:val="21"/>
              </w:rPr>
            </w:pPr>
            <w:r>
              <w:rPr>
                <w:rFonts w:eastAsia="仿宋_GB2312"/>
                <w:kern w:val="0"/>
                <w:szCs w:val="21"/>
              </w:rPr>
              <w:t>建立应急协调机制和联防联控工作机制，定期开展应急培训演练。</w:t>
            </w:r>
          </w:p>
        </w:tc>
        <w:tc>
          <w:tcPr>
            <w:tcW w:w="678" w:type="dxa"/>
            <w:noWrap w:val="0"/>
            <w:vAlign w:val="center"/>
          </w:tcPr>
          <w:p>
            <w:pPr>
              <w:widowControl/>
              <w:jc w:val="center"/>
              <w:textAlignment w:val="center"/>
              <w:rPr>
                <w:rFonts w:eastAsia="仿宋_GB2312"/>
                <w:kern w:val="0"/>
                <w:szCs w:val="21"/>
              </w:rPr>
            </w:pPr>
            <w:r>
              <w:rPr>
                <w:rFonts w:eastAsia="仿宋_GB2312"/>
                <w:kern w:val="0"/>
                <w:szCs w:val="21"/>
              </w:rPr>
              <w:t>2</w:t>
            </w:r>
          </w:p>
        </w:tc>
        <w:tc>
          <w:tcPr>
            <w:tcW w:w="5664" w:type="dxa"/>
            <w:noWrap w:val="0"/>
            <w:vAlign w:val="center"/>
          </w:tcPr>
          <w:p>
            <w:pPr>
              <w:widowControl/>
              <w:textAlignment w:val="center"/>
              <w:rPr>
                <w:rFonts w:eastAsia="仿宋_GB2312"/>
                <w:kern w:val="0"/>
                <w:szCs w:val="21"/>
              </w:rPr>
            </w:pPr>
            <w:r>
              <w:rPr>
                <w:rFonts w:eastAsia="仿宋_GB2312"/>
                <w:kern w:val="0"/>
                <w:szCs w:val="21"/>
              </w:rPr>
              <w:t>未建立应急协调机制和联防联控工作机制的，扣0.5分；未建立卫生应急队伍扣0.5分；未开展培训和演练各扣0.5分，未按规定储备应急物资扣0.5分。</w:t>
            </w:r>
          </w:p>
        </w:tc>
        <w:tc>
          <w:tcPr>
            <w:tcW w:w="1478" w:type="dxa"/>
            <w:noWrap w:val="0"/>
            <w:vAlign w:val="center"/>
          </w:tcPr>
          <w:p>
            <w:pPr>
              <w:widowControl/>
              <w:textAlignment w:val="center"/>
              <w:rPr>
                <w:rFonts w:eastAsia="仿宋_GB2312"/>
                <w:kern w:val="0"/>
                <w:szCs w:val="21"/>
              </w:rPr>
            </w:pPr>
          </w:p>
        </w:tc>
        <w:tc>
          <w:tcPr>
            <w:tcW w:w="984" w:type="dxa"/>
          </w:tcPr>
          <w:p>
            <w:pPr>
              <w:widowControl/>
              <w:textAlignment w:val="center"/>
              <w:rPr>
                <w:rFonts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57" w:type="dxa"/>
            <w:bottom w:w="28" w:type="dxa"/>
            <w:right w:w="57" w:type="dxa"/>
          </w:tblCellMar>
        </w:tblPrEx>
        <w:trPr>
          <w:trHeight w:val="454" w:hRule="atLeast"/>
          <w:jc w:val="center"/>
        </w:trPr>
        <w:tc>
          <w:tcPr>
            <w:tcW w:w="1160" w:type="dxa"/>
            <w:vMerge w:val="continue"/>
            <w:noWrap w:val="0"/>
            <w:vAlign w:val="center"/>
          </w:tcPr>
          <w:p>
            <w:pPr>
              <w:widowControl/>
              <w:textAlignment w:val="center"/>
              <w:rPr>
                <w:rFonts w:hint="eastAsia" w:ascii="黑体" w:hAnsi="黑体" w:eastAsia="黑体" w:cs="黑体"/>
                <w:bCs/>
                <w:kern w:val="0"/>
                <w:szCs w:val="21"/>
                <w:highlight w:val="yellow"/>
              </w:rPr>
            </w:pPr>
          </w:p>
        </w:tc>
        <w:tc>
          <w:tcPr>
            <w:tcW w:w="1250" w:type="dxa"/>
            <w:vMerge w:val="continue"/>
            <w:noWrap w:val="0"/>
            <w:vAlign w:val="center"/>
          </w:tcPr>
          <w:p>
            <w:pPr>
              <w:rPr>
                <w:rFonts w:eastAsia="仿宋_GB2312"/>
                <w:color w:val="000000"/>
                <w:kern w:val="0"/>
                <w:szCs w:val="21"/>
              </w:rPr>
            </w:pPr>
          </w:p>
        </w:tc>
        <w:tc>
          <w:tcPr>
            <w:tcW w:w="3299" w:type="dxa"/>
            <w:noWrap w:val="0"/>
            <w:vAlign w:val="center"/>
          </w:tcPr>
          <w:p>
            <w:pPr>
              <w:widowControl/>
              <w:textAlignment w:val="center"/>
              <w:rPr>
                <w:rFonts w:eastAsia="仿宋_GB2312"/>
                <w:color w:val="000000"/>
                <w:kern w:val="0"/>
                <w:szCs w:val="21"/>
              </w:rPr>
            </w:pPr>
            <w:r>
              <w:rPr>
                <w:rFonts w:eastAsia="仿宋_GB2312"/>
                <w:color w:val="000000"/>
                <w:kern w:val="0"/>
                <w:szCs w:val="21"/>
              </w:rPr>
              <w:t>有效实施国家基本公共卫生服务项目，建立健全基层职业病防治和心理服务体系和工作机制。</w:t>
            </w:r>
          </w:p>
        </w:tc>
        <w:tc>
          <w:tcPr>
            <w:tcW w:w="678" w:type="dxa"/>
            <w:noWrap w:val="0"/>
            <w:vAlign w:val="center"/>
          </w:tcPr>
          <w:p>
            <w:pPr>
              <w:widowControl/>
              <w:jc w:val="center"/>
              <w:textAlignment w:val="center"/>
              <w:rPr>
                <w:rFonts w:eastAsia="仿宋_GB2312"/>
                <w:color w:val="000000"/>
                <w:kern w:val="0"/>
                <w:szCs w:val="21"/>
              </w:rPr>
            </w:pPr>
            <w:r>
              <w:rPr>
                <w:rFonts w:eastAsia="仿宋_GB2312"/>
                <w:color w:val="000000"/>
                <w:kern w:val="0"/>
                <w:szCs w:val="21"/>
              </w:rPr>
              <w:t>3</w:t>
            </w:r>
          </w:p>
        </w:tc>
        <w:tc>
          <w:tcPr>
            <w:tcW w:w="5664" w:type="dxa"/>
            <w:noWrap w:val="0"/>
            <w:vAlign w:val="center"/>
          </w:tcPr>
          <w:p>
            <w:pPr>
              <w:widowControl/>
              <w:textAlignment w:val="center"/>
              <w:rPr>
                <w:rFonts w:eastAsia="仿宋_GB2312"/>
                <w:kern w:val="0"/>
                <w:szCs w:val="21"/>
              </w:rPr>
            </w:pPr>
            <w:r>
              <w:rPr>
                <w:rFonts w:eastAsia="仿宋_GB2312"/>
                <w:kern w:val="0"/>
                <w:szCs w:val="21"/>
              </w:rPr>
              <w:t>基本公共卫生服务项目考核低于850分的，扣1分；</w:t>
            </w:r>
          </w:p>
          <w:p>
            <w:pPr>
              <w:widowControl/>
              <w:textAlignment w:val="center"/>
              <w:rPr>
                <w:rFonts w:eastAsia="仿宋_GB2312"/>
                <w:kern w:val="0"/>
                <w:szCs w:val="21"/>
              </w:rPr>
            </w:pPr>
            <w:r>
              <w:rPr>
                <w:rFonts w:eastAsia="仿宋_GB2312"/>
                <w:kern w:val="0"/>
                <w:szCs w:val="21"/>
              </w:rPr>
              <w:t>未按要求开展职业病防治培训和实训型培训的，每少一项扣0.5分；职业病危害企业巡查未全覆盖的，每少1家扣0.1分。</w:t>
            </w:r>
          </w:p>
          <w:p>
            <w:pPr>
              <w:widowControl/>
              <w:textAlignment w:val="center"/>
              <w:rPr>
                <w:rFonts w:eastAsia="仿宋_GB2312"/>
                <w:kern w:val="0"/>
                <w:szCs w:val="21"/>
              </w:rPr>
            </w:pPr>
            <w:r>
              <w:rPr>
                <w:rFonts w:eastAsia="仿宋_GB2312"/>
                <w:kern w:val="0"/>
                <w:szCs w:val="21"/>
              </w:rPr>
              <w:t>规范社会心理服务平台运行机制，确保平台实体运作顺畅，平台运行每发现一处问题，扣0.5分；未开展培训和演练扣0.5分；镇街社会心理服务平台每季度服务人次不少于10人，每少1人扣0.1分，最多扣1分。</w:t>
            </w:r>
          </w:p>
        </w:tc>
        <w:tc>
          <w:tcPr>
            <w:tcW w:w="1478" w:type="dxa"/>
            <w:noWrap w:val="0"/>
            <w:vAlign w:val="center"/>
          </w:tcPr>
          <w:p>
            <w:pPr>
              <w:widowControl/>
              <w:textAlignment w:val="center"/>
              <w:rPr>
                <w:rFonts w:eastAsia="仿宋_GB2312"/>
                <w:kern w:val="0"/>
                <w:szCs w:val="21"/>
              </w:rPr>
            </w:pPr>
          </w:p>
        </w:tc>
        <w:tc>
          <w:tcPr>
            <w:tcW w:w="984" w:type="dxa"/>
          </w:tcPr>
          <w:p>
            <w:pPr>
              <w:widowControl/>
              <w:textAlignment w:val="center"/>
              <w:rPr>
                <w:rFonts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57" w:type="dxa"/>
            <w:bottom w:w="28" w:type="dxa"/>
            <w:right w:w="57" w:type="dxa"/>
          </w:tblCellMar>
        </w:tblPrEx>
        <w:trPr>
          <w:trHeight w:val="454" w:hRule="atLeast"/>
          <w:jc w:val="center"/>
        </w:trPr>
        <w:tc>
          <w:tcPr>
            <w:tcW w:w="1160" w:type="dxa"/>
            <w:vMerge w:val="continue"/>
            <w:noWrap w:val="0"/>
            <w:vAlign w:val="center"/>
          </w:tcPr>
          <w:p>
            <w:pPr>
              <w:widowControl/>
              <w:textAlignment w:val="center"/>
              <w:rPr>
                <w:rFonts w:hint="eastAsia" w:ascii="黑体" w:hAnsi="黑体" w:eastAsia="黑体" w:cs="黑体"/>
                <w:bCs/>
                <w:color w:val="000000"/>
                <w:kern w:val="0"/>
                <w:szCs w:val="21"/>
              </w:rPr>
            </w:pPr>
          </w:p>
        </w:tc>
        <w:tc>
          <w:tcPr>
            <w:tcW w:w="1250" w:type="dxa"/>
            <w:vMerge w:val="restart"/>
            <w:noWrap w:val="0"/>
            <w:vAlign w:val="center"/>
          </w:tcPr>
          <w:p>
            <w:pPr>
              <w:widowControl/>
              <w:textAlignment w:val="center"/>
              <w:rPr>
                <w:rFonts w:eastAsia="仿宋_GB2312"/>
                <w:b/>
                <w:color w:val="000000"/>
                <w:kern w:val="0"/>
                <w:szCs w:val="21"/>
              </w:rPr>
            </w:pPr>
            <w:r>
              <w:rPr>
                <w:rFonts w:eastAsia="仿宋_GB2312"/>
                <w:color w:val="000000"/>
                <w:kern w:val="0"/>
                <w:szCs w:val="21"/>
              </w:rPr>
              <w:t>8.优化医疗资源配置利用</w:t>
            </w:r>
          </w:p>
        </w:tc>
        <w:tc>
          <w:tcPr>
            <w:tcW w:w="3299" w:type="dxa"/>
            <w:noWrap w:val="0"/>
            <w:vAlign w:val="center"/>
          </w:tcPr>
          <w:p>
            <w:pPr>
              <w:widowControl/>
              <w:textAlignment w:val="center"/>
              <w:rPr>
                <w:rFonts w:eastAsia="仿宋_GB2312"/>
                <w:kern w:val="0"/>
                <w:szCs w:val="21"/>
              </w:rPr>
            </w:pPr>
            <w:r>
              <w:rPr>
                <w:rFonts w:eastAsia="仿宋_GB2312"/>
                <w:kern w:val="0"/>
                <w:szCs w:val="21"/>
              </w:rPr>
              <w:t>加强基层医疗服务能力建设，群众就诊量稳步增长。</w:t>
            </w:r>
          </w:p>
        </w:tc>
        <w:tc>
          <w:tcPr>
            <w:tcW w:w="678" w:type="dxa"/>
            <w:noWrap w:val="0"/>
            <w:vAlign w:val="center"/>
          </w:tcPr>
          <w:p>
            <w:pPr>
              <w:widowControl/>
              <w:jc w:val="center"/>
              <w:textAlignment w:val="center"/>
              <w:rPr>
                <w:rFonts w:eastAsia="仿宋_GB2312"/>
                <w:bCs/>
                <w:kern w:val="0"/>
                <w:szCs w:val="21"/>
              </w:rPr>
            </w:pPr>
            <w:r>
              <w:rPr>
                <w:rFonts w:eastAsia="仿宋_GB2312"/>
                <w:bCs/>
                <w:kern w:val="0"/>
                <w:szCs w:val="21"/>
              </w:rPr>
              <w:t>2</w:t>
            </w:r>
          </w:p>
        </w:tc>
        <w:tc>
          <w:tcPr>
            <w:tcW w:w="5664" w:type="dxa"/>
            <w:noWrap w:val="0"/>
            <w:vAlign w:val="center"/>
          </w:tcPr>
          <w:p>
            <w:pPr>
              <w:widowControl/>
              <w:textAlignment w:val="center"/>
              <w:rPr>
                <w:rFonts w:eastAsia="仿宋_GB2312"/>
                <w:kern w:val="0"/>
                <w:szCs w:val="21"/>
              </w:rPr>
            </w:pPr>
            <w:r>
              <w:rPr>
                <w:rFonts w:eastAsia="仿宋_GB2312"/>
                <w:kern w:val="0"/>
                <w:szCs w:val="21"/>
              </w:rPr>
              <w:t>乡镇卫生院（社区卫生服务中心）门急诊诊疗人次每年度增长幅度5%及以上得2分；增长幅度5%以下得1分；较前一年下降，不得分。</w:t>
            </w:r>
          </w:p>
        </w:tc>
        <w:tc>
          <w:tcPr>
            <w:tcW w:w="1478" w:type="dxa"/>
            <w:noWrap w:val="0"/>
            <w:vAlign w:val="center"/>
          </w:tcPr>
          <w:p>
            <w:pPr>
              <w:widowControl/>
              <w:textAlignment w:val="center"/>
              <w:rPr>
                <w:rFonts w:eastAsia="仿宋_GB2312"/>
                <w:kern w:val="0"/>
                <w:szCs w:val="21"/>
              </w:rPr>
            </w:pPr>
          </w:p>
        </w:tc>
        <w:tc>
          <w:tcPr>
            <w:tcW w:w="984" w:type="dxa"/>
          </w:tcPr>
          <w:p>
            <w:pPr>
              <w:widowControl/>
              <w:textAlignment w:val="center"/>
              <w:rPr>
                <w:rFonts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57" w:type="dxa"/>
            <w:bottom w:w="28" w:type="dxa"/>
            <w:right w:w="57" w:type="dxa"/>
          </w:tblCellMar>
        </w:tblPrEx>
        <w:trPr>
          <w:trHeight w:val="454" w:hRule="atLeast"/>
          <w:jc w:val="center"/>
        </w:trPr>
        <w:tc>
          <w:tcPr>
            <w:tcW w:w="1160" w:type="dxa"/>
            <w:vMerge w:val="continue"/>
            <w:noWrap w:val="0"/>
            <w:vAlign w:val="center"/>
          </w:tcPr>
          <w:p>
            <w:pPr>
              <w:widowControl/>
              <w:textAlignment w:val="center"/>
              <w:rPr>
                <w:rFonts w:hint="eastAsia" w:ascii="黑体" w:hAnsi="黑体" w:eastAsia="黑体" w:cs="黑体"/>
                <w:bCs/>
                <w:color w:val="000000"/>
                <w:kern w:val="0"/>
                <w:szCs w:val="21"/>
              </w:rPr>
            </w:pPr>
          </w:p>
        </w:tc>
        <w:tc>
          <w:tcPr>
            <w:tcW w:w="1250" w:type="dxa"/>
            <w:vMerge w:val="continue"/>
            <w:noWrap w:val="0"/>
            <w:vAlign w:val="center"/>
          </w:tcPr>
          <w:p>
            <w:pPr>
              <w:widowControl/>
              <w:textAlignment w:val="center"/>
              <w:rPr>
                <w:rFonts w:eastAsia="仿宋_GB2312"/>
                <w:b/>
                <w:color w:val="000000"/>
                <w:kern w:val="0"/>
                <w:szCs w:val="21"/>
              </w:rPr>
            </w:pPr>
          </w:p>
        </w:tc>
        <w:tc>
          <w:tcPr>
            <w:tcW w:w="3299" w:type="dxa"/>
            <w:noWrap w:val="0"/>
            <w:vAlign w:val="center"/>
          </w:tcPr>
          <w:p>
            <w:pPr>
              <w:widowControl/>
              <w:textAlignment w:val="center"/>
              <w:rPr>
                <w:rFonts w:eastAsia="仿宋_GB2312"/>
                <w:kern w:val="0"/>
                <w:szCs w:val="21"/>
              </w:rPr>
            </w:pPr>
            <w:r>
              <w:rPr>
                <w:rFonts w:eastAsia="仿宋_GB2312"/>
                <w:kern w:val="0"/>
                <w:szCs w:val="21"/>
              </w:rPr>
              <w:t>乡镇卫生院（社区卫生服务中心）纳入县域医共体建设，基层就诊率达到65%以上</w:t>
            </w:r>
          </w:p>
        </w:tc>
        <w:tc>
          <w:tcPr>
            <w:tcW w:w="678" w:type="dxa"/>
            <w:noWrap w:val="0"/>
            <w:vAlign w:val="center"/>
          </w:tcPr>
          <w:p>
            <w:pPr>
              <w:widowControl/>
              <w:jc w:val="center"/>
              <w:textAlignment w:val="center"/>
              <w:rPr>
                <w:rFonts w:eastAsia="仿宋_GB2312"/>
                <w:bCs/>
                <w:kern w:val="0"/>
                <w:szCs w:val="21"/>
              </w:rPr>
            </w:pPr>
            <w:r>
              <w:rPr>
                <w:rFonts w:eastAsia="仿宋_GB2312"/>
                <w:bCs/>
                <w:kern w:val="0"/>
                <w:szCs w:val="21"/>
              </w:rPr>
              <w:t>2</w:t>
            </w:r>
          </w:p>
        </w:tc>
        <w:tc>
          <w:tcPr>
            <w:tcW w:w="5664" w:type="dxa"/>
            <w:noWrap w:val="0"/>
            <w:vAlign w:val="center"/>
          </w:tcPr>
          <w:p>
            <w:pPr>
              <w:widowControl/>
              <w:textAlignment w:val="center"/>
              <w:rPr>
                <w:rFonts w:eastAsia="仿宋_GB2312"/>
                <w:kern w:val="0"/>
                <w:szCs w:val="21"/>
              </w:rPr>
            </w:pPr>
            <w:r>
              <w:rPr>
                <w:rFonts w:eastAsia="仿宋_GB2312"/>
                <w:kern w:val="0"/>
                <w:szCs w:val="21"/>
              </w:rPr>
              <w:t>乡镇卫生院（社区卫生服务中心）未纳入县域医共体建设，扣1分，纳入医共体建设，但未做到“人、财、物、事”一体化管理，每缺1项扣0.2分。</w:t>
            </w:r>
          </w:p>
          <w:p>
            <w:pPr>
              <w:widowControl/>
              <w:textAlignment w:val="center"/>
              <w:rPr>
                <w:rFonts w:eastAsia="仿宋_GB2312"/>
                <w:kern w:val="0"/>
                <w:szCs w:val="21"/>
              </w:rPr>
            </w:pPr>
            <w:r>
              <w:rPr>
                <w:rFonts w:eastAsia="仿宋_GB2312"/>
                <w:kern w:val="0"/>
                <w:szCs w:val="21"/>
              </w:rPr>
              <w:t>乡镇（街道）内签约病人在乡镇就诊人次占该乡镇（街道）内签约病人总就诊人次数的比例未达到65%以上，每下降1个百分点扣0.2分，最多扣1分。市区所辖乡镇卫生院此项不扣分。</w:t>
            </w:r>
          </w:p>
        </w:tc>
        <w:tc>
          <w:tcPr>
            <w:tcW w:w="1478" w:type="dxa"/>
            <w:noWrap w:val="0"/>
            <w:vAlign w:val="center"/>
          </w:tcPr>
          <w:p>
            <w:pPr>
              <w:widowControl/>
              <w:textAlignment w:val="center"/>
              <w:rPr>
                <w:rFonts w:eastAsia="仿宋_GB2312"/>
                <w:kern w:val="0"/>
                <w:szCs w:val="21"/>
              </w:rPr>
            </w:pPr>
          </w:p>
        </w:tc>
        <w:tc>
          <w:tcPr>
            <w:tcW w:w="984" w:type="dxa"/>
          </w:tcPr>
          <w:p>
            <w:pPr>
              <w:widowControl/>
              <w:textAlignment w:val="center"/>
              <w:rPr>
                <w:rFonts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57" w:type="dxa"/>
            <w:bottom w:w="28" w:type="dxa"/>
            <w:right w:w="57" w:type="dxa"/>
          </w:tblCellMar>
        </w:tblPrEx>
        <w:trPr>
          <w:trHeight w:val="454" w:hRule="atLeast"/>
          <w:jc w:val="center"/>
        </w:trPr>
        <w:tc>
          <w:tcPr>
            <w:tcW w:w="1160" w:type="dxa"/>
            <w:vMerge w:val="continue"/>
            <w:noWrap w:val="0"/>
            <w:vAlign w:val="center"/>
          </w:tcPr>
          <w:p>
            <w:pPr>
              <w:widowControl/>
              <w:textAlignment w:val="center"/>
              <w:rPr>
                <w:rFonts w:hint="eastAsia" w:ascii="黑体" w:hAnsi="黑体" w:eastAsia="黑体" w:cs="黑体"/>
                <w:bCs/>
                <w:color w:val="000000"/>
                <w:kern w:val="0"/>
                <w:szCs w:val="21"/>
              </w:rPr>
            </w:pPr>
          </w:p>
        </w:tc>
        <w:tc>
          <w:tcPr>
            <w:tcW w:w="1250" w:type="dxa"/>
            <w:vMerge w:val="continue"/>
            <w:noWrap w:val="0"/>
            <w:vAlign w:val="center"/>
          </w:tcPr>
          <w:p>
            <w:pPr>
              <w:widowControl/>
              <w:textAlignment w:val="center"/>
              <w:rPr>
                <w:rFonts w:eastAsia="仿宋_GB2312"/>
                <w:b/>
                <w:color w:val="000000"/>
                <w:kern w:val="0"/>
                <w:szCs w:val="21"/>
              </w:rPr>
            </w:pPr>
          </w:p>
        </w:tc>
        <w:tc>
          <w:tcPr>
            <w:tcW w:w="3299" w:type="dxa"/>
            <w:noWrap w:val="0"/>
            <w:vAlign w:val="center"/>
          </w:tcPr>
          <w:p>
            <w:pPr>
              <w:widowControl/>
              <w:textAlignment w:val="center"/>
              <w:rPr>
                <w:rFonts w:eastAsia="仿宋_GB2312"/>
                <w:color w:val="000000"/>
                <w:kern w:val="0"/>
                <w:szCs w:val="21"/>
              </w:rPr>
            </w:pPr>
            <w:r>
              <w:rPr>
                <w:rFonts w:eastAsia="仿宋_GB2312"/>
                <w:color w:val="000000"/>
                <w:kern w:val="0"/>
                <w:szCs w:val="21"/>
              </w:rPr>
              <w:t>乡镇卫生院（社区卫生服务中心）建设基层标准化中医馆，基层中医院服务量达到30%以上</w:t>
            </w:r>
          </w:p>
        </w:tc>
        <w:tc>
          <w:tcPr>
            <w:tcW w:w="678" w:type="dxa"/>
            <w:noWrap w:val="0"/>
            <w:vAlign w:val="center"/>
          </w:tcPr>
          <w:p>
            <w:pPr>
              <w:jc w:val="center"/>
              <w:rPr>
                <w:rFonts w:eastAsia="仿宋_GB2312"/>
                <w:bCs/>
                <w:color w:val="000000"/>
                <w:kern w:val="0"/>
                <w:szCs w:val="21"/>
              </w:rPr>
            </w:pPr>
            <w:r>
              <w:rPr>
                <w:rFonts w:eastAsia="仿宋_GB2312"/>
                <w:bCs/>
                <w:color w:val="000000"/>
                <w:kern w:val="0"/>
                <w:szCs w:val="21"/>
              </w:rPr>
              <w:t>1</w:t>
            </w:r>
          </w:p>
        </w:tc>
        <w:tc>
          <w:tcPr>
            <w:tcW w:w="5664" w:type="dxa"/>
            <w:noWrap w:val="0"/>
            <w:vAlign w:val="center"/>
          </w:tcPr>
          <w:p>
            <w:pPr>
              <w:widowControl/>
              <w:textAlignment w:val="center"/>
              <w:rPr>
                <w:rFonts w:eastAsia="仿宋_GB2312"/>
                <w:kern w:val="0"/>
                <w:szCs w:val="21"/>
              </w:rPr>
            </w:pPr>
            <w:r>
              <w:rPr>
                <w:rFonts w:eastAsia="仿宋_GB2312"/>
                <w:color w:val="000000"/>
                <w:kern w:val="0"/>
                <w:szCs w:val="21"/>
              </w:rPr>
              <w:t>乡镇卫生院（社区卫生服务中心）</w:t>
            </w:r>
            <w:r>
              <w:rPr>
                <w:rFonts w:eastAsia="仿宋_GB2312"/>
                <w:kern w:val="0"/>
                <w:szCs w:val="21"/>
              </w:rPr>
              <w:t>未设立基层标准化中医馆，扣0.5分；中医诊疗量占诊疗总量</w:t>
            </w:r>
            <w:r>
              <w:rPr>
                <w:rFonts w:hint="eastAsia" w:eastAsia="仿宋_GB2312"/>
                <w:kern w:val="0"/>
                <w:szCs w:val="21"/>
              </w:rPr>
              <w:t>未达到</w:t>
            </w:r>
            <w:r>
              <w:rPr>
                <w:rFonts w:eastAsia="仿宋_GB2312"/>
                <w:kern w:val="0"/>
                <w:szCs w:val="21"/>
              </w:rPr>
              <w:t>30%以上</w:t>
            </w:r>
            <w:r>
              <w:rPr>
                <w:rFonts w:hint="eastAsia" w:eastAsia="仿宋_GB2312"/>
                <w:kern w:val="0"/>
                <w:szCs w:val="21"/>
              </w:rPr>
              <w:t>的</w:t>
            </w:r>
            <w:r>
              <w:rPr>
                <w:rFonts w:eastAsia="仿宋_GB2312"/>
                <w:kern w:val="0"/>
                <w:szCs w:val="21"/>
              </w:rPr>
              <w:t>，每少1%扣0.1分，最多扣0.5分。</w:t>
            </w:r>
          </w:p>
        </w:tc>
        <w:tc>
          <w:tcPr>
            <w:tcW w:w="1478" w:type="dxa"/>
            <w:noWrap w:val="0"/>
            <w:vAlign w:val="center"/>
          </w:tcPr>
          <w:p>
            <w:pPr>
              <w:widowControl/>
              <w:textAlignment w:val="center"/>
              <w:rPr>
                <w:rFonts w:eastAsia="仿宋_GB2312"/>
                <w:kern w:val="0"/>
                <w:szCs w:val="21"/>
              </w:rPr>
            </w:pPr>
          </w:p>
        </w:tc>
        <w:tc>
          <w:tcPr>
            <w:tcW w:w="984" w:type="dxa"/>
          </w:tcPr>
          <w:p>
            <w:pPr>
              <w:widowControl/>
              <w:textAlignment w:val="center"/>
              <w:rPr>
                <w:rFonts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57" w:type="dxa"/>
            <w:bottom w:w="28" w:type="dxa"/>
            <w:right w:w="57" w:type="dxa"/>
          </w:tblCellMar>
        </w:tblPrEx>
        <w:trPr>
          <w:trHeight w:val="454" w:hRule="atLeast"/>
          <w:jc w:val="center"/>
        </w:trPr>
        <w:tc>
          <w:tcPr>
            <w:tcW w:w="1160" w:type="dxa"/>
            <w:vMerge w:val="continue"/>
            <w:noWrap w:val="0"/>
            <w:vAlign w:val="center"/>
          </w:tcPr>
          <w:p>
            <w:pPr>
              <w:widowControl/>
              <w:textAlignment w:val="center"/>
              <w:rPr>
                <w:rFonts w:hint="eastAsia" w:ascii="黑体" w:hAnsi="黑体" w:eastAsia="黑体" w:cs="黑体"/>
                <w:bCs/>
                <w:color w:val="000000"/>
                <w:kern w:val="0"/>
                <w:szCs w:val="21"/>
              </w:rPr>
            </w:pPr>
          </w:p>
        </w:tc>
        <w:tc>
          <w:tcPr>
            <w:tcW w:w="1250" w:type="dxa"/>
            <w:vMerge w:val="restart"/>
            <w:noWrap w:val="0"/>
            <w:vAlign w:val="center"/>
          </w:tcPr>
          <w:p>
            <w:pPr>
              <w:widowControl/>
              <w:textAlignment w:val="center"/>
              <w:rPr>
                <w:rFonts w:eastAsia="仿宋_GB2312"/>
                <w:b/>
                <w:color w:val="000000"/>
                <w:kern w:val="0"/>
                <w:szCs w:val="21"/>
              </w:rPr>
            </w:pPr>
            <w:r>
              <w:rPr>
                <w:rFonts w:eastAsia="仿宋_GB2312"/>
                <w:color w:val="000000"/>
                <w:kern w:val="0"/>
                <w:szCs w:val="21"/>
              </w:rPr>
              <w:t>9.加强重点人群健康服务</w:t>
            </w:r>
          </w:p>
        </w:tc>
        <w:tc>
          <w:tcPr>
            <w:tcW w:w="3299" w:type="dxa"/>
            <w:noWrap w:val="0"/>
            <w:vAlign w:val="center"/>
          </w:tcPr>
          <w:p>
            <w:pPr>
              <w:widowControl/>
              <w:textAlignment w:val="center"/>
              <w:rPr>
                <w:rFonts w:eastAsia="仿宋_GB2312"/>
                <w:color w:val="000000"/>
                <w:kern w:val="0"/>
                <w:szCs w:val="21"/>
              </w:rPr>
            </w:pPr>
            <w:r>
              <w:rPr>
                <w:rFonts w:eastAsia="仿宋_GB2312"/>
                <w:color w:val="000000"/>
                <w:kern w:val="0"/>
                <w:szCs w:val="21"/>
              </w:rPr>
              <w:t>强化高危妊娠风险筛查和分级管理，深化适龄妇女“两癌”筛查工作</w:t>
            </w:r>
          </w:p>
        </w:tc>
        <w:tc>
          <w:tcPr>
            <w:tcW w:w="678" w:type="dxa"/>
            <w:noWrap w:val="0"/>
            <w:vAlign w:val="center"/>
          </w:tcPr>
          <w:p>
            <w:pPr>
              <w:jc w:val="center"/>
              <w:rPr>
                <w:rFonts w:eastAsia="仿宋_GB2312"/>
                <w:color w:val="000000"/>
                <w:kern w:val="0"/>
                <w:szCs w:val="21"/>
              </w:rPr>
            </w:pPr>
            <w:r>
              <w:rPr>
                <w:rFonts w:eastAsia="仿宋_GB2312"/>
                <w:color w:val="000000"/>
                <w:kern w:val="0"/>
                <w:szCs w:val="21"/>
              </w:rPr>
              <w:t>1</w:t>
            </w:r>
          </w:p>
        </w:tc>
        <w:tc>
          <w:tcPr>
            <w:tcW w:w="5664" w:type="dxa"/>
            <w:noWrap w:val="0"/>
            <w:vAlign w:val="center"/>
          </w:tcPr>
          <w:p>
            <w:pPr>
              <w:widowControl/>
              <w:textAlignment w:val="center"/>
              <w:rPr>
                <w:rFonts w:eastAsia="仿宋_GB2312"/>
                <w:color w:val="000000"/>
                <w:kern w:val="0"/>
                <w:szCs w:val="21"/>
              </w:rPr>
            </w:pPr>
            <w:r>
              <w:rPr>
                <w:rFonts w:eastAsia="仿宋_GB2312"/>
                <w:color w:val="000000"/>
                <w:kern w:val="0"/>
                <w:szCs w:val="21"/>
              </w:rPr>
              <w:t>当年乡镇发生1例户籍孕产妇死亡的，扣1分。</w:t>
            </w:r>
          </w:p>
          <w:p>
            <w:pPr>
              <w:widowControl/>
              <w:textAlignment w:val="center"/>
              <w:rPr>
                <w:rFonts w:eastAsia="仿宋_GB2312"/>
                <w:color w:val="000000"/>
                <w:kern w:val="0"/>
                <w:szCs w:val="21"/>
              </w:rPr>
            </w:pPr>
            <w:r>
              <w:rPr>
                <w:rFonts w:eastAsia="仿宋_GB2312"/>
                <w:color w:val="000000"/>
                <w:kern w:val="0"/>
                <w:szCs w:val="21"/>
              </w:rPr>
              <w:t>乡镇户籍人口中的35-64周岁的妇女宫颈癌和乳腺癌筛查率未分别达到80%及以上的，任何一个指标每下降1个百分点扣0.25分，最多扣1分。</w:t>
            </w:r>
          </w:p>
        </w:tc>
        <w:tc>
          <w:tcPr>
            <w:tcW w:w="1478" w:type="dxa"/>
            <w:noWrap w:val="0"/>
            <w:vAlign w:val="center"/>
          </w:tcPr>
          <w:p>
            <w:pPr>
              <w:widowControl/>
              <w:textAlignment w:val="center"/>
              <w:rPr>
                <w:rFonts w:eastAsia="仿宋_GB2312"/>
                <w:color w:val="000000"/>
                <w:kern w:val="0"/>
                <w:szCs w:val="21"/>
              </w:rPr>
            </w:pPr>
          </w:p>
        </w:tc>
        <w:tc>
          <w:tcPr>
            <w:tcW w:w="984" w:type="dxa"/>
          </w:tcPr>
          <w:p>
            <w:pPr>
              <w:widowControl/>
              <w:textAlignment w:val="center"/>
              <w:rPr>
                <w:rFonts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57" w:type="dxa"/>
            <w:bottom w:w="28" w:type="dxa"/>
            <w:right w:w="57" w:type="dxa"/>
          </w:tblCellMar>
        </w:tblPrEx>
        <w:trPr>
          <w:trHeight w:val="454" w:hRule="atLeast"/>
          <w:jc w:val="center"/>
        </w:trPr>
        <w:tc>
          <w:tcPr>
            <w:tcW w:w="1160" w:type="dxa"/>
            <w:vMerge w:val="continue"/>
            <w:noWrap w:val="0"/>
            <w:vAlign w:val="center"/>
          </w:tcPr>
          <w:p>
            <w:pPr>
              <w:widowControl/>
              <w:textAlignment w:val="center"/>
              <w:rPr>
                <w:rFonts w:hint="eastAsia" w:ascii="黑体" w:hAnsi="黑体" w:eastAsia="黑体" w:cs="黑体"/>
                <w:bCs/>
                <w:color w:val="000000"/>
                <w:kern w:val="0"/>
                <w:szCs w:val="21"/>
              </w:rPr>
            </w:pPr>
          </w:p>
        </w:tc>
        <w:tc>
          <w:tcPr>
            <w:tcW w:w="1250" w:type="dxa"/>
            <w:vMerge w:val="continue"/>
            <w:noWrap w:val="0"/>
            <w:vAlign w:val="center"/>
          </w:tcPr>
          <w:p>
            <w:pPr>
              <w:widowControl/>
              <w:textAlignment w:val="center"/>
              <w:rPr>
                <w:rFonts w:eastAsia="仿宋_GB2312"/>
                <w:b/>
                <w:color w:val="000000"/>
                <w:kern w:val="0"/>
                <w:szCs w:val="21"/>
              </w:rPr>
            </w:pPr>
          </w:p>
        </w:tc>
        <w:tc>
          <w:tcPr>
            <w:tcW w:w="3299" w:type="dxa"/>
            <w:noWrap w:val="0"/>
            <w:vAlign w:val="center"/>
          </w:tcPr>
          <w:p>
            <w:pPr>
              <w:widowControl/>
              <w:textAlignment w:val="center"/>
              <w:rPr>
                <w:rFonts w:eastAsia="仿宋_GB2312"/>
                <w:color w:val="000000"/>
                <w:kern w:val="0"/>
                <w:szCs w:val="21"/>
              </w:rPr>
            </w:pPr>
            <w:r>
              <w:rPr>
                <w:rFonts w:eastAsia="仿宋_GB2312"/>
                <w:color w:val="000000"/>
                <w:kern w:val="0"/>
                <w:szCs w:val="21"/>
              </w:rPr>
              <w:t>建立3岁以下婴幼儿照护服务体系，持续推进儿童早期发展</w:t>
            </w:r>
          </w:p>
        </w:tc>
        <w:tc>
          <w:tcPr>
            <w:tcW w:w="678" w:type="dxa"/>
            <w:noWrap w:val="0"/>
            <w:vAlign w:val="center"/>
          </w:tcPr>
          <w:p>
            <w:pPr>
              <w:jc w:val="center"/>
              <w:rPr>
                <w:rFonts w:eastAsia="仿宋_GB2312"/>
                <w:color w:val="000000"/>
                <w:kern w:val="0"/>
                <w:szCs w:val="21"/>
              </w:rPr>
            </w:pPr>
            <w:r>
              <w:rPr>
                <w:rFonts w:eastAsia="仿宋_GB2312"/>
                <w:color w:val="000000"/>
                <w:kern w:val="0"/>
                <w:szCs w:val="21"/>
              </w:rPr>
              <w:t>1</w:t>
            </w:r>
          </w:p>
        </w:tc>
        <w:tc>
          <w:tcPr>
            <w:tcW w:w="5664" w:type="dxa"/>
            <w:noWrap w:val="0"/>
            <w:vAlign w:val="center"/>
          </w:tcPr>
          <w:p>
            <w:pPr>
              <w:widowControl/>
              <w:textAlignment w:val="center"/>
              <w:rPr>
                <w:rFonts w:eastAsia="仿宋_GB2312"/>
                <w:color w:val="000000"/>
                <w:kern w:val="0"/>
                <w:szCs w:val="21"/>
              </w:rPr>
            </w:pPr>
            <w:r>
              <w:rPr>
                <w:rFonts w:eastAsia="仿宋_GB2312"/>
                <w:color w:val="000000"/>
                <w:kern w:val="0"/>
                <w:szCs w:val="21"/>
              </w:rPr>
              <w:t>3岁以下婴幼儿健康管理率未达到95%的，每下降1个百分点扣0.1分，最多扣1分。</w:t>
            </w:r>
          </w:p>
          <w:p>
            <w:pPr>
              <w:widowControl/>
              <w:textAlignment w:val="center"/>
              <w:rPr>
                <w:rFonts w:eastAsia="仿宋_GB2312"/>
                <w:color w:val="000000"/>
                <w:kern w:val="0"/>
                <w:szCs w:val="21"/>
              </w:rPr>
            </w:pPr>
            <w:r>
              <w:rPr>
                <w:rFonts w:eastAsia="仿宋_GB2312"/>
                <w:color w:val="000000"/>
                <w:kern w:val="0"/>
                <w:szCs w:val="21"/>
              </w:rPr>
              <w:t>3岁以下婴幼儿照护服务阵地建设覆盖率未达30%及以上的不得分。</w:t>
            </w:r>
          </w:p>
        </w:tc>
        <w:tc>
          <w:tcPr>
            <w:tcW w:w="1478" w:type="dxa"/>
            <w:noWrap w:val="0"/>
            <w:vAlign w:val="center"/>
          </w:tcPr>
          <w:p>
            <w:pPr>
              <w:widowControl/>
              <w:textAlignment w:val="center"/>
              <w:rPr>
                <w:rFonts w:eastAsia="仿宋_GB2312"/>
                <w:color w:val="000000"/>
                <w:kern w:val="0"/>
                <w:szCs w:val="21"/>
              </w:rPr>
            </w:pPr>
          </w:p>
        </w:tc>
        <w:tc>
          <w:tcPr>
            <w:tcW w:w="984" w:type="dxa"/>
          </w:tcPr>
          <w:p>
            <w:pPr>
              <w:widowControl/>
              <w:textAlignment w:val="center"/>
              <w:rPr>
                <w:rFonts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57" w:type="dxa"/>
            <w:bottom w:w="28" w:type="dxa"/>
            <w:right w:w="57" w:type="dxa"/>
          </w:tblCellMar>
        </w:tblPrEx>
        <w:trPr>
          <w:trHeight w:val="454" w:hRule="atLeast"/>
          <w:jc w:val="center"/>
        </w:trPr>
        <w:tc>
          <w:tcPr>
            <w:tcW w:w="1160" w:type="dxa"/>
            <w:vMerge w:val="continue"/>
            <w:noWrap w:val="0"/>
            <w:vAlign w:val="center"/>
          </w:tcPr>
          <w:p>
            <w:pPr>
              <w:widowControl/>
              <w:textAlignment w:val="center"/>
              <w:rPr>
                <w:rFonts w:hint="eastAsia" w:ascii="黑体" w:hAnsi="黑体" w:eastAsia="黑体" w:cs="黑体"/>
                <w:bCs/>
                <w:color w:val="000000"/>
                <w:kern w:val="0"/>
                <w:szCs w:val="21"/>
              </w:rPr>
            </w:pPr>
          </w:p>
        </w:tc>
        <w:tc>
          <w:tcPr>
            <w:tcW w:w="1250" w:type="dxa"/>
            <w:vMerge w:val="continue"/>
            <w:noWrap w:val="0"/>
            <w:vAlign w:val="center"/>
          </w:tcPr>
          <w:p>
            <w:pPr>
              <w:widowControl/>
              <w:textAlignment w:val="center"/>
              <w:rPr>
                <w:rFonts w:eastAsia="仿宋_GB2312"/>
                <w:b/>
                <w:color w:val="000000"/>
                <w:kern w:val="0"/>
                <w:szCs w:val="21"/>
              </w:rPr>
            </w:pPr>
          </w:p>
        </w:tc>
        <w:tc>
          <w:tcPr>
            <w:tcW w:w="3299" w:type="dxa"/>
            <w:noWrap w:val="0"/>
            <w:vAlign w:val="center"/>
          </w:tcPr>
          <w:p>
            <w:pPr>
              <w:widowControl/>
              <w:textAlignment w:val="center"/>
              <w:rPr>
                <w:rFonts w:eastAsia="仿宋_GB2312"/>
                <w:kern w:val="0"/>
                <w:szCs w:val="21"/>
              </w:rPr>
            </w:pPr>
            <w:r>
              <w:rPr>
                <w:rFonts w:eastAsia="仿宋_GB2312"/>
                <w:kern w:val="0"/>
                <w:szCs w:val="21"/>
              </w:rPr>
              <w:t>儿童青少年总体近视率每年降低1个百分点以上</w:t>
            </w:r>
          </w:p>
        </w:tc>
        <w:tc>
          <w:tcPr>
            <w:tcW w:w="678" w:type="dxa"/>
            <w:noWrap w:val="0"/>
            <w:vAlign w:val="center"/>
          </w:tcPr>
          <w:p>
            <w:pPr>
              <w:jc w:val="center"/>
              <w:rPr>
                <w:rFonts w:eastAsia="仿宋_GB2312"/>
                <w:kern w:val="0"/>
                <w:szCs w:val="21"/>
              </w:rPr>
            </w:pPr>
            <w:r>
              <w:rPr>
                <w:rFonts w:eastAsia="仿宋_GB2312"/>
                <w:color w:val="000000"/>
                <w:kern w:val="0"/>
                <w:szCs w:val="21"/>
              </w:rPr>
              <w:t>1</w:t>
            </w:r>
          </w:p>
        </w:tc>
        <w:tc>
          <w:tcPr>
            <w:tcW w:w="5664" w:type="dxa"/>
            <w:noWrap w:val="0"/>
            <w:vAlign w:val="center"/>
          </w:tcPr>
          <w:p>
            <w:pPr>
              <w:widowControl/>
              <w:textAlignment w:val="center"/>
              <w:rPr>
                <w:rFonts w:eastAsia="仿宋_GB2312"/>
                <w:kern w:val="0"/>
                <w:szCs w:val="21"/>
              </w:rPr>
            </w:pPr>
            <w:r>
              <w:rPr>
                <w:rFonts w:eastAsia="仿宋_GB2312"/>
                <w:kern w:val="0"/>
                <w:szCs w:val="21"/>
              </w:rPr>
              <w:t>每年组织1-2次对辖区内学龄前大班和小学、初中、高中生进行近视筛查监测，儿童青少年总体近视率每年降低1个百分点以上，新发近视率和近视程度明显下降，高度近视发生率显著降低。未达要求，儿童青少年总体近视率每少降0.1个百分点扣0.1分,扣完为止。</w:t>
            </w:r>
          </w:p>
        </w:tc>
        <w:tc>
          <w:tcPr>
            <w:tcW w:w="1478" w:type="dxa"/>
            <w:noWrap w:val="0"/>
            <w:vAlign w:val="center"/>
          </w:tcPr>
          <w:p>
            <w:pPr>
              <w:widowControl/>
              <w:textAlignment w:val="center"/>
              <w:rPr>
                <w:rFonts w:eastAsia="仿宋_GB2312"/>
                <w:kern w:val="0"/>
                <w:szCs w:val="21"/>
              </w:rPr>
            </w:pPr>
          </w:p>
        </w:tc>
        <w:tc>
          <w:tcPr>
            <w:tcW w:w="984" w:type="dxa"/>
          </w:tcPr>
          <w:p>
            <w:pPr>
              <w:widowControl/>
              <w:textAlignment w:val="center"/>
              <w:rPr>
                <w:rFonts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57" w:type="dxa"/>
            <w:bottom w:w="28" w:type="dxa"/>
            <w:right w:w="57" w:type="dxa"/>
          </w:tblCellMar>
        </w:tblPrEx>
        <w:trPr>
          <w:trHeight w:val="454" w:hRule="atLeast"/>
          <w:jc w:val="center"/>
        </w:trPr>
        <w:tc>
          <w:tcPr>
            <w:tcW w:w="1160" w:type="dxa"/>
            <w:vMerge w:val="continue"/>
            <w:noWrap w:val="0"/>
            <w:vAlign w:val="center"/>
          </w:tcPr>
          <w:p>
            <w:pPr>
              <w:widowControl/>
              <w:textAlignment w:val="center"/>
              <w:rPr>
                <w:rFonts w:hint="eastAsia" w:ascii="黑体" w:hAnsi="黑体" w:eastAsia="黑体" w:cs="黑体"/>
                <w:bCs/>
                <w:color w:val="000000"/>
                <w:kern w:val="0"/>
                <w:szCs w:val="21"/>
              </w:rPr>
            </w:pPr>
          </w:p>
        </w:tc>
        <w:tc>
          <w:tcPr>
            <w:tcW w:w="1250" w:type="dxa"/>
            <w:vMerge w:val="continue"/>
            <w:noWrap w:val="0"/>
            <w:vAlign w:val="center"/>
          </w:tcPr>
          <w:p>
            <w:pPr>
              <w:widowControl/>
              <w:textAlignment w:val="center"/>
              <w:rPr>
                <w:rFonts w:eastAsia="仿宋_GB2312"/>
                <w:b/>
                <w:color w:val="000000"/>
                <w:kern w:val="0"/>
                <w:szCs w:val="21"/>
              </w:rPr>
            </w:pPr>
          </w:p>
        </w:tc>
        <w:tc>
          <w:tcPr>
            <w:tcW w:w="3299" w:type="dxa"/>
            <w:noWrap w:val="0"/>
            <w:vAlign w:val="center"/>
          </w:tcPr>
          <w:p>
            <w:pPr>
              <w:widowControl/>
              <w:textAlignment w:val="center"/>
              <w:rPr>
                <w:rFonts w:eastAsia="仿宋_GB2312"/>
                <w:color w:val="000000"/>
                <w:kern w:val="0"/>
                <w:szCs w:val="21"/>
              </w:rPr>
            </w:pPr>
            <w:r>
              <w:rPr>
                <w:rFonts w:eastAsia="仿宋_GB2312"/>
                <w:kern w:val="0"/>
                <w:szCs w:val="21"/>
              </w:rPr>
              <w:t>加强社区居家养老服务机构建设，加大涉老设施改造力度</w:t>
            </w:r>
          </w:p>
        </w:tc>
        <w:tc>
          <w:tcPr>
            <w:tcW w:w="678" w:type="dxa"/>
            <w:noWrap w:val="0"/>
            <w:vAlign w:val="center"/>
          </w:tcPr>
          <w:p>
            <w:pPr>
              <w:jc w:val="center"/>
              <w:rPr>
                <w:rFonts w:eastAsia="仿宋_GB2312"/>
                <w:kern w:val="0"/>
                <w:szCs w:val="21"/>
              </w:rPr>
            </w:pPr>
            <w:r>
              <w:rPr>
                <w:rFonts w:eastAsia="仿宋_GB2312"/>
                <w:kern w:val="0"/>
                <w:szCs w:val="21"/>
              </w:rPr>
              <w:t>1</w:t>
            </w:r>
          </w:p>
        </w:tc>
        <w:tc>
          <w:tcPr>
            <w:tcW w:w="5664" w:type="dxa"/>
            <w:noWrap w:val="0"/>
            <w:vAlign w:val="center"/>
          </w:tcPr>
          <w:p>
            <w:pPr>
              <w:widowControl/>
              <w:textAlignment w:val="center"/>
              <w:rPr>
                <w:rFonts w:eastAsia="仿宋_GB2312"/>
                <w:kern w:val="0"/>
                <w:szCs w:val="21"/>
              </w:rPr>
            </w:pPr>
            <w:r>
              <w:rPr>
                <w:rFonts w:eastAsia="仿宋_GB2312"/>
                <w:color w:val="000000"/>
                <w:kern w:val="0"/>
                <w:szCs w:val="21"/>
              </w:rPr>
              <w:t>辖区至少有1家示范型居家养老服务中心或医养结合机构，</w:t>
            </w:r>
            <w:r>
              <w:rPr>
                <w:rFonts w:eastAsia="仿宋_GB2312"/>
                <w:kern w:val="0"/>
                <w:szCs w:val="21"/>
              </w:rPr>
              <w:t>并正常运营得0.5分，仅完成项目建设得0.3分，未完成项目建设不得分。</w:t>
            </w:r>
          </w:p>
          <w:p>
            <w:pPr>
              <w:widowControl/>
              <w:textAlignment w:val="center"/>
              <w:rPr>
                <w:rFonts w:eastAsia="仿宋_GB2312"/>
                <w:kern w:val="0"/>
                <w:szCs w:val="21"/>
              </w:rPr>
            </w:pPr>
            <w:r>
              <w:rPr>
                <w:rFonts w:eastAsia="仿宋_GB2312"/>
                <w:kern w:val="0"/>
                <w:szCs w:val="21"/>
              </w:rPr>
              <w:t>开展生活困难老年人家庭适老化改造户数未达到所在县（市、区）当年要求的，按比例扣分，最多扣1分。</w:t>
            </w:r>
          </w:p>
        </w:tc>
        <w:tc>
          <w:tcPr>
            <w:tcW w:w="1478" w:type="dxa"/>
            <w:noWrap w:val="0"/>
            <w:vAlign w:val="center"/>
          </w:tcPr>
          <w:p>
            <w:pPr>
              <w:widowControl/>
              <w:textAlignment w:val="center"/>
              <w:rPr>
                <w:rFonts w:eastAsia="仿宋_GB2312"/>
                <w:kern w:val="0"/>
                <w:szCs w:val="21"/>
              </w:rPr>
            </w:pPr>
          </w:p>
        </w:tc>
        <w:tc>
          <w:tcPr>
            <w:tcW w:w="984" w:type="dxa"/>
          </w:tcPr>
          <w:p>
            <w:pPr>
              <w:widowControl/>
              <w:textAlignment w:val="center"/>
              <w:rPr>
                <w:rFonts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57" w:type="dxa"/>
            <w:bottom w:w="28" w:type="dxa"/>
            <w:right w:w="57" w:type="dxa"/>
          </w:tblCellMar>
        </w:tblPrEx>
        <w:trPr>
          <w:trHeight w:val="454" w:hRule="atLeast"/>
          <w:jc w:val="center"/>
        </w:trPr>
        <w:tc>
          <w:tcPr>
            <w:tcW w:w="1160" w:type="dxa"/>
            <w:vMerge w:val="continue"/>
            <w:noWrap w:val="0"/>
            <w:vAlign w:val="center"/>
          </w:tcPr>
          <w:p>
            <w:pPr>
              <w:widowControl/>
              <w:textAlignment w:val="center"/>
              <w:rPr>
                <w:rFonts w:hint="eastAsia" w:ascii="黑体" w:hAnsi="黑体" w:eastAsia="黑体" w:cs="黑体"/>
                <w:bCs/>
                <w:color w:val="000000"/>
                <w:kern w:val="0"/>
                <w:szCs w:val="21"/>
              </w:rPr>
            </w:pPr>
          </w:p>
        </w:tc>
        <w:tc>
          <w:tcPr>
            <w:tcW w:w="1250" w:type="dxa"/>
            <w:vMerge w:val="continue"/>
            <w:noWrap w:val="0"/>
            <w:vAlign w:val="center"/>
          </w:tcPr>
          <w:p>
            <w:pPr>
              <w:widowControl/>
              <w:textAlignment w:val="center"/>
              <w:rPr>
                <w:rFonts w:eastAsia="仿宋_GB2312"/>
                <w:b/>
                <w:color w:val="000000"/>
                <w:kern w:val="0"/>
                <w:szCs w:val="21"/>
              </w:rPr>
            </w:pPr>
          </w:p>
        </w:tc>
        <w:tc>
          <w:tcPr>
            <w:tcW w:w="3299" w:type="dxa"/>
            <w:noWrap w:val="0"/>
            <w:vAlign w:val="center"/>
          </w:tcPr>
          <w:p>
            <w:pPr>
              <w:widowControl/>
              <w:textAlignment w:val="center"/>
              <w:rPr>
                <w:rFonts w:eastAsia="仿宋_GB2312"/>
                <w:color w:val="000000"/>
                <w:kern w:val="0"/>
                <w:szCs w:val="21"/>
              </w:rPr>
            </w:pPr>
            <w:r>
              <w:rPr>
                <w:rFonts w:eastAsia="仿宋_GB2312"/>
                <w:color w:val="000000"/>
                <w:kern w:val="0"/>
                <w:szCs w:val="21"/>
              </w:rPr>
              <w:t>乡镇卫生院（社区卫生服务中心）应开设康复或护理、安宁疗护床位，为居家高龄、失能老年人提供家庭病床和上门服务</w:t>
            </w:r>
          </w:p>
        </w:tc>
        <w:tc>
          <w:tcPr>
            <w:tcW w:w="678" w:type="dxa"/>
            <w:noWrap w:val="0"/>
            <w:vAlign w:val="center"/>
          </w:tcPr>
          <w:p>
            <w:pPr>
              <w:jc w:val="center"/>
              <w:rPr>
                <w:rFonts w:eastAsia="仿宋_GB2312"/>
                <w:color w:val="000000"/>
                <w:kern w:val="0"/>
                <w:szCs w:val="21"/>
              </w:rPr>
            </w:pPr>
            <w:r>
              <w:rPr>
                <w:rFonts w:eastAsia="仿宋_GB2312"/>
                <w:color w:val="000000"/>
                <w:kern w:val="0"/>
                <w:szCs w:val="21"/>
              </w:rPr>
              <w:t>1</w:t>
            </w:r>
          </w:p>
        </w:tc>
        <w:tc>
          <w:tcPr>
            <w:tcW w:w="5664" w:type="dxa"/>
            <w:noWrap w:val="0"/>
            <w:vAlign w:val="center"/>
          </w:tcPr>
          <w:p>
            <w:pPr>
              <w:widowControl/>
              <w:textAlignment w:val="center"/>
              <w:rPr>
                <w:rFonts w:eastAsia="仿宋_GB2312"/>
                <w:kern w:val="0"/>
                <w:szCs w:val="21"/>
              </w:rPr>
            </w:pPr>
            <w:r>
              <w:rPr>
                <w:rFonts w:eastAsia="仿宋_GB2312"/>
                <w:kern w:val="0"/>
                <w:szCs w:val="21"/>
              </w:rPr>
              <w:t>未开设康复、护理、安宁疗护床位，扣0.5分；开设康复、护理、安宁疗护床位，但未正常运转，扣0.2分。</w:t>
            </w:r>
          </w:p>
          <w:p>
            <w:pPr>
              <w:widowControl/>
              <w:textAlignment w:val="center"/>
              <w:rPr>
                <w:rFonts w:eastAsia="仿宋_GB2312"/>
                <w:kern w:val="0"/>
                <w:szCs w:val="21"/>
              </w:rPr>
            </w:pPr>
            <w:r>
              <w:rPr>
                <w:rFonts w:eastAsia="仿宋_GB2312"/>
                <w:kern w:val="0"/>
                <w:szCs w:val="21"/>
              </w:rPr>
              <w:t>家庭病床建床数未达到乡镇所在县（市、区）当年工作要求的，扣0.5分。</w:t>
            </w:r>
          </w:p>
        </w:tc>
        <w:tc>
          <w:tcPr>
            <w:tcW w:w="1478" w:type="dxa"/>
            <w:noWrap w:val="0"/>
            <w:vAlign w:val="center"/>
          </w:tcPr>
          <w:p>
            <w:pPr>
              <w:widowControl/>
              <w:textAlignment w:val="center"/>
              <w:rPr>
                <w:rFonts w:eastAsia="仿宋_GB2312"/>
                <w:kern w:val="0"/>
                <w:szCs w:val="21"/>
              </w:rPr>
            </w:pPr>
          </w:p>
        </w:tc>
        <w:tc>
          <w:tcPr>
            <w:tcW w:w="984" w:type="dxa"/>
          </w:tcPr>
          <w:p>
            <w:pPr>
              <w:widowControl/>
              <w:textAlignment w:val="center"/>
              <w:rPr>
                <w:rFonts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57" w:type="dxa"/>
            <w:bottom w:w="28" w:type="dxa"/>
            <w:right w:w="57" w:type="dxa"/>
          </w:tblCellMar>
        </w:tblPrEx>
        <w:trPr>
          <w:trHeight w:val="454" w:hRule="atLeast"/>
          <w:jc w:val="center"/>
        </w:trPr>
        <w:tc>
          <w:tcPr>
            <w:tcW w:w="1160" w:type="dxa"/>
            <w:vMerge w:val="restart"/>
            <w:noWrap w:val="0"/>
            <w:vAlign w:val="center"/>
          </w:tcPr>
          <w:p>
            <w:pPr>
              <w:widowControl/>
              <w:textAlignment w:val="center"/>
              <w:rPr>
                <w:rFonts w:hint="eastAsia" w:ascii="黑体" w:hAnsi="黑体" w:eastAsia="黑体" w:cs="黑体"/>
                <w:bCs/>
                <w:color w:val="000000"/>
                <w:kern w:val="0"/>
                <w:szCs w:val="21"/>
              </w:rPr>
            </w:pPr>
            <w:r>
              <w:rPr>
                <w:rFonts w:hint="eastAsia" w:ascii="黑体" w:hAnsi="黑体" w:eastAsia="黑体" w:cs="黑体"/>
                <w:bCs/>
                <w:color w:val="000000"/>
                <w:kern w:val="0"/>
                <w:szCs w:val="21"/>
              </w:rPr>
              <w:t>四、完善健康保障（16分）</w:t>
            </w:r>
          </w:p>
        </w:tc>
        <w:tc>
          <w:tcPr>
            <w:tcW w:w="1250" w:type="dxa"/>
            <w:noWrap w:val="0"/>
            <w:vAlign w:val="center"/>
          </w:tcPr>
          <w:p>
            <w:pPr>
              <w:widowControl/>
              <w:textAlignment w:val="center"/>
              <w:rPr>
                <w:rFonts w:eastAsia="仿宋_GB2312"/>
                <w:b/>
                <w:color w:val="000000"/>
                <w:kern w:val="0"/>
                <w:szCs w:val="21"/>
              </w:rPr>
            </w:pPr>
            <w:r>
              <w:rPr>
                <w:rFonts w:eastAsia="仿宋_GB2312"/>
                <w:color w:val="000000"/>
                <w:kern w:val="0"/>
                <w:szCs w:val="21"/>
              </w:rPr>
              <w:t>10.落实健康建设经费保障</w:t>
            </w:r>
          </w:p>
        </w:tc>
        <w:tc>
          <w:tcPr>
            <w:tcW w:w="3299" w:type="dxa"/>
            <w:noWrap w:val="0"/>
            <w:vAlign w:val="center"/>
          </w:tcPr>
          <w:p>
            <w:pPr>
              <w:widowControl/>
              <w:textAlignment w:val="center"/>
              <w:rPr>
                <w:rFonts w:eastAsia="仿宋_GB2312"/>
                <w:b/>
                <w:color w:val="000000"/>
                <w:kern w:val="0"/>
                <w:szCs w:val="21"/>
              </w:rPr>
            </w:pPr>
            <w:r>
              <w:rPr>
                <w:rFonts w:eastAsia="仿宋_GB2312"/>
                <w:color w:val="000000"/>
                <w:kern w:val="0"/>
                <w:szCs w:val="21"/>
              </w:rPr>
              <w:t>建立乡镇健康建设持续投入机制，确保健康乡镇建设顺利开展</w:t>
            </w:r>
          </w:p>
        </w:tc>
        <w:tc>
          <w:tcPr>
            <w:tcW w:w="678" w:type="dxa"/>
            <w:noWrap w:val="0"/>
            <w:vAlign w:val="center"/>
          </w:tcPr>
          <w:p>
            <w:pPr>
              <w:widowControl/>
              <w:jc w:val="center"/>
              <w:textAlignment w:val="center"/>
              <w:rPr>
                <w:rFonts w:eastAsia="仿宋_GB2312"/>
                <w:color w:val="000000"/>
                <w:kern w:val="0"/>
                <w:szCs w:val="21"/>
              </w:rPr>
            </w:pPr>
            <w:r>
              <w:rPr>
                <w:rFonts w:eastAsia="仿宋_GB2312"/>
                <w:color w:val="000000"/>
                <w:kern w:val="0"/>
                <w:szCs w:val="21"/>
              </w:rPr>
              <w:t>4</w:t>
            </w:r>
          </w:p>
        </w:tc>
        <w:tc>
          <w:tcPr>
            <w:tcW w:w="5664" w:type="dxa"/>
            <w:noWrap w:val="0"/>
            <w:vAlign w:val="center"/>
          </w:tcPr>
          <w:p>
            <w:pPr>
              <w:widowControl/>
              <w:textAlignment w:val="center"/>
              <w:rPr>
                <w:rFonts w:eastAsia="仿宋_GB2312"/>
                <w:kern w:val="0"/>
                <w:szCs w:val="21"/>
              </w:rPr>
            </w:pPr>
            <w:r>
              <w:rPr>
                <w:rFonts w:eastAsia="仿宋_GB2312"/>
                <w:kern w:val="0"/>
                <w:szCs w:val="21"/>
              </w:rPr>
              <w:t>未合理安排资金，未有效保障健康乡镇建设的，扣2分；因预算执行不到位影响健康乡镇建设的，扣1分；发生挤占或挪用健康乡镇建设有关资金的，不得分。</w:t>
            </w:r>
          </w:p>
        </w:tc>
        <w:tc>
          <w:tcPr>
            <w:tcW w:w="1478" w:type="dxa"/>
            <w:noWrap w:val="0"/>
            <w:vAlign w:val="center"/>
          </w:tcPr>
          <w:p>
            <w:pPr>
              <w:widowControl/>
              <w:textAlignment w:val="center"/>
              <w:rPr>
                <w:rFonts w:eastAsia="仿宋_GB2312"/>
                <w:kern w:val="0"/>
                <w:szCs w:val="21"/>
              </w:rPr>
            </w:pPr>
          </w:p>
        </w:tc>
        <w:tc>
          <w:tcPr>
            <w:tcW w:w="984" w:type="dxa"/>
          </w:tcPr>
          <w:p>
            <w:pPr>
              <w:widowControl/>
              <w:textAlignment w:val="center"/>
              <w:rPr>
                <w:rFonts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57" w:type="dxa"/>
            <w:bottom w:w="28" w:type="dxa"/>
            <w:right w:w="57" w:type="dxa"/>
          </w:tblCellMar>
        </w:tblPrEx>
        <w:trPr>
          <w:trHeight w:val="454" w:hRule="atLeast"/>
          <w:jc w:val="center"/>
        </w:trPr>
        <w:tc>
          <w:tcPr>
            <w:tcW w:w="1160" w:type="dxa"/>
            <w:vMerge w:val="continue"/>
            <w:noWrap w:val="0"/>
            <w:vAlign w:val="center"/>
          </w:tcPr>
          <w:p>
            <w:pPr>
              <w:widowControl/>
              <w:textAlignment w:val="center"/>
              <w:rPr>
                <w:rFonts w:hint="eastAsia" w:ascii="黑体" w:hAnsi="黑体" w:eastAsia="黑体" w:cs="黑体"/>
                <w:bCs/>
                <w:color w:val="000000"/>
                <w:kern w:val="0"/>
                <w:szCs w:val="21"/>
              </w:rPr>
            </w:pPr>
          </w:p>
        </w:tc>
        <w:tc>
          <w:tcPr>
            <w:tcW w:w="1250" w:type="dxa"/>
            <w:vMerge w:val="restart"/>
            <w:noWrap w:val="0"/>
            <w:vAlign w:val="center"/>
          </w:tcPr>
          <w:p>
            <w:pPr>
              <w:widowControl/>
              <w:textAlignment w:val="center"/>
              <w:rPr>
                <w:rFonts w:eastAsia="仿宋_GB2312"/>
                <w:b/>
                <w:color w:val="000000"/>
                <w:kern w:val="0"/>
                <w:szCs w:val="21"/>
              </w:rPr>
            </w:pPr>
            <w:r>
              <w:rPr>
                <w:rFonts w:eastAsia="仿宋_GB2312"/>
                <w:color w:val="000000"/>
                <w:kern w:val="0"/>
                <w:szCs w:val="21"/>
              </w:rPr>
              <w:t>11.完善公共安全体系</w:t>
            </w:r>
          </w:p>
        </w:tc>
        <w:tc>
          <w:tcPr>
            <w:tcW w:w="3299" w:type="dxa"/>
            <w:noWrap w:val="0"/>
            <w:vAlign w:val="center"/>
          </w:tcPr>
          <w:p>
            <w:pPr>
              <w:widowControl/>
              <w:textAlignment w:val="center"/>
              <w:rPr>
                <w:rFonts w:eastAsia="仿宋_GB2312"/>
                <w:b/>
                <w:kern w:val="0"/>
                <w:szCs w:val="21"/>
              </w:rPr>
            </w:pPr>
            <w:r>
              <w:rPr>
                <w:rFonts w:eastAsia="仿宋_GB2312"/>
                <w:kern w:val="0"/>
                <w:szCs w:val="21"/>
              </w:rPr>
              <w:t>加强急救能力建设，健全急救网络，户籍人口应急救护培训年度普及率达到2.5%以上</w:t>
            </w:r>
          </w:p>
        </w:tc>
        <w:tc>
          <w:tcPr>
            <w:tcW w:w="678" w:type="dxa"/>
            <w:noWrap w:val="0"/>
            <w:vAlign w:val="center"/>
          </w:tcPr>
          <w:p>
            <w:pPr>
              <w:widowControl/>
              <w:jc w:val="center"/>
              <w:textAlignment w:val="center"/>
              <w:rPr>
                <w:rFonts w:eastAsia="仿宋_GB2312"/>
                <w:kern w:val="0"/>
                <w:szCs w:val="21"/>
              </w:rPr>
            </w:pPr>
            <w:r>
              <w:rPr>
                <w:rFonts w:eastAsia="仿宋_GB2312"/>
                <w:kern w:val="0"/>
                <w:szCs w:val="21"/>
              </w:rPr>
              <w:t>3</w:t>
            </w:r>
          </w:p>
        </w:tc>
        <w:tc>
          <w:tcPr>
            <w:tcW w:w="5664" w:type="dxa"/>
            <w:noWrap w:val="0"/>
            <w:vAlign w:val="center"/>
          </w:tcPr>
          <w:p>
            <w:pPr>
              <w:widowControl/>
              <w:textAlignment w:val="center"/>
              <w:rPr>
                <w:rFonts w:eastAsia="仿宋_GB2312"/>
                <w:kern w:val="0"/>
                <w:szCs w:val="21"/>
              </w:rPr>
            </w:pPr>
            <w:r>
              <w:rPr>
                <w:rFonts w:eastAsia="仿宋_GB2312"/>
                <w:kern w:val="0"/>
                <w:szCs w:val="21"/>
              </w:rPr>
              <w:t>急救站点服务半径短于3.5公里，平均急救反应时间少于11分钟；乡村急救半径少于8公里，平均急救反应时间少于15分钟的，得1分；服务半径或平均急救反应时间未达要求的，不得分。</w:t>
            </w:r>
          </w:p>
          <w:p>
            <w:pPr>
              <w:widowControl/>
              <w:textAlignment w:val="center"/>
              <w:rPr>
                <w:rFonts w:eastAsia="仿宋_GB2312"/>
                <w:kern w:val="0"/>
                <w:szCs w:val="21"/>
              </w:rPr>
            </w:pPr>
            <w:r>
              <w:rPr>
                <w:rFonts w:eastAsia="仿宋_GB2312"/>
                <w:kern w:val="0"/>
                <w:szCs w:val="21"/>
              </w:rPr>
              <w:t>户籍人口应急救护培训年度普及率达到2.5%以上，得1分；每下降0.1个百分点扣0.2分，扣完为止。</w:t>
            </w:r>
          </w:p>
          <w:p>
            <w:pPr>
              <w:widowControl/>
              <w:textAlignment w:val="center"/>
              <w:rPr>
                <w:rFonts w:eastAsia="仿宋_GB2312"/>
                <w:kern w:val="0"/>
                <w:szCs w:val="21"/>
              </w:rPr>
            </w:pPr>
            <w:r>
              <w:rPr>
                <w:rFonts w:eastAsia="仿宋_GB2312"/>
                <w:kern w:val="0"/>
                <w:szCs w:val="21"/>
              </w:rPr>
              <w:t>现场查看乡镇AED布置点，按乡镇户籍人口计算，考核年度新增配置率达到0.15台/万人，得1分；否则不得分。</w:t>
            </w:r>
          </w:p>
        </w:tc>
        <w:tc>
          <w:tcPr>
            <w:tcW w:w="1478" w:type="dxa"/>
            <w:noWrap w:val="0"/>
            <w:vAlign w:val="center"/>
          </w:tcPr>
          <w:p>
            <w:pPr>
              <w:widowControl/>
              <w:textAlignment w:val="center"/>
              <w:rPr>
                <w:rFonts w:eastAsia="仿宋_GB2312"/>
                <w:kern w:val="0"/>
                <w:szCs w:val="21"/>
              </w:rPr>
            </w:pPr>
          </w:p>
        </w:tc>
        <w:tc>
          <w:tcPr>
            <w:tcW w:w="984" w:type="dxa"/>
          </w:tcPr>
          <w:p>
            <w:pPr>
              <w:widowControl/>
              <w:textAlignment w:val="center"/>
              <w:rPr>
                <w:rFonts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57" w:type="dxa"/>
            <w:bottom w:w="28" w:type="dxa"/>
            <w:right w:w="57" w:type="dxa"/>
          </w:tblCellMar>
        </w:tblPrEx>
        <w:trPr>
          <w:trHeight w:val="454" w:hRule="atLeast"/>
          <w:jc w:val="center"/>
        </w:trPr>
        <w:tc>
          <w:tcPr>
            <w:tcW w:w="1160" w:type="dxa"/>
            <w:vMerge w:val="continue"/>
            <w:noWrap w:val="0"/>
            <w:vAlign w:val="center"/>
          </w:tcPr>
          <w:p>
            <w:pPr>
              <w:widowControl/>
              <w:textAlignment w:val="center"/>
              <w:rPr>
                <w:rFonts w:hint="eastAsia" w:ascii="黑体" w:hAnsi="黑体" w:eastAsia="黑体" w:cs="黑体"/>
                <w:bCs/>
                <w:color w:val="000000"/>
                <w:kern w:val="0"/>
                <w:szCs w:val="21"/>
              </w:rPr>
            </w:pPr>
          </w:p>
        </w:tc>
        <w:tc>
          <w:tcPr>
            <w:tcW w:w="1250" w:type="dxa"/>
            <w:vMerge w:val="continue"/>
            <w:noWrap w:val="0"/>
            <w:vAlign w:val="center"/>
          </w:tcPr>
          <w:p>
            <w:pPr>
              <w:widowControl/>
              <w:textAlignment w:val="center"/>
              <w:rPr>
                <w:rFonts w:eastAsia="仿宋_GB2312"/>
                <w:b/>
                <w:color w:val="000000"/>
                <w:kern w:val="0"/>
                <w:szCs w:val="21"/>
              </w:rPr>
            </w:pPr>
          </w:p>
        </w:tc>
        <w:tc>
          <w:tcPr>
            <w:tcW w:w="3299" w:type="dxa"/>
            <w:noWrap w:val="0"/>
            <w:vAlign w:val="center"/>
          </w:tcPr>
          <w:p>
            <w:pPr>
              <w:widowControl/>
              <w:textAlignment w:val="center"/>
              <w:rPr>
                <w:rFonts w:eastAsia="仿宋_GB2312"/>
                <w:b/>
                <w:color w:val="000000"/>
                <w:kern w:val="0"/>
                <w:szCs w:val="21"/>
              </w:rPr>
            </w:pPr>
            <w:r>
              <w:rPr>
                <w:rFonts w:eastAsia="仿宋_GB2312"/>
                <w:color w:val="000000"/>
                <w:kern w:val="0"/>
                <w:szCs w:val="21"/>
              </w:rPr>
              <w:t>减少意外伤害，道路交通死亡人数、儿童和老年人意外伤害死亡人数低于前3年平均水平</w:t>
            </w:r>
          </w:p>
        </w:tc>
        <w:tc>
          <w:tcPr>
            <w:tcW w:w="678" w:type="dxa"/>
            <w:noWrap w:val="0"/>
            <w:vAlign w:val="center"/>
          </w:tcPr>
          <w:p>
            <w:pPr>
              <w:widowControl/>
              <w:jc w:val="center"/>
              <w:textAlignment w:val="center"/>
              <w:rPr>
                <w:rFonts w:eastAsia="仿宋_GB2312"/>
                <w:color w:val="000000"/>
                <w:kern w:val="0"/>
                <w:szCs w:val="21"/>
              </w:rPr>
            </w:pPr>
            <w:r>
              <w:rPr>
                <w:rFonts w:eastAsia="仿宋_GB2312"/>
                <w:color w:val="000000"/>
                <w:kern w:val="0"/>
                <w:szCs w:val="21"/>
              </w:rPr>
              <w:t>3</w:t>
            </w:r>
          </w:p>
        </w:tc>
        <w:tc>
          <w:tcPr>
            <w:tcW w:w="5664" w:type="dxa"/>
            <w:noWrap w:val="0"/>
            <w:vAlign w:val="center"/>
          </w:tcPr>
          <w:p>
            <w:pPr>
              <w:widowControl/>
              <w:textAlignment w:val="center"/>
              <w:rPr>
                <w:rFonts w:eastAsia="仿宋_GB2312"/>
                <w:kern w:val="0"/>
                <w:szCs w:val="21"/>
              </w:rPr>
            </w:pPr>
            <w:r>
              <w:rPr>
                <w:rFonts w:eastAsia="仿宋_GB2312"/>
                <w:kern w:val="0"/>
                <w:szCs w:val="21"/>
              </w:rPr>
              <w:t>辖区年度内发生重特大道路交通事故，扣1分；乡镇道路交通死亡人数达到当年目标控制数内的不扣分，超过目标控制数的，每超过1个扣0.2分，总分1分扣完为止。</w:t>
            </w:r>
          </w:p>
          <w:p>
            <w:pPr>
              <w:widowControl/>
              <w:textAlignment w:val="center"/>
              <w:rPr>
                <w:rFonts w:eastAsia="仿宋_GB2312"/>
                <w:kern w:val="0"/>
                <w:szCs w:val="21"/>
              </w:rPr>
            </w:pPr>
            <w:r>
              <w:rPr>
                <w:rFonts w:eastAsia="仿宋_GB2312"/>
                <w:kern w:val="0"/>
                <w:szCs w:val="21"/>
              </w:rPr>
              <w:t>儿童意外伤害死亡人数超过前3年平均水平，扣1分；</w:t>
            </w:r>
          </w:p>
          <w:p>
            <w:pPr>
              <w:widowControl/>
              <w:textAlignment w:val="center"/>
              <w:rPr>
                <w:rFonts w:eastAsia="仿宋_GB2312"/>
                <w:kern w:val="0"/>
                <w:szCs w:val="21"/>
              </w:rPr>
            </w:pPr>
            <w:r>
              <w:rPr>
                <w:rFonts w:eastAsia="仿宋_GB2312"/>
                <w:kern w:val="0"/>
                <w:szCs w:val="21"/>
              </w:rPr>
              <w:t>老年人意外伤害死亡人数超过前3年平均水平，扣1分。</w:t>
            </w:r>
          </w:p>
        </w:tc>
        <w:tc>
          <w:tcPr>
            <w:tcW w:w="1478" w:type="dxa"/>
            <w:noWrap w:val="0"/>
            <w:vAlign w:val="center"/>
          </w:tcPr>
          <w:p>
            <w:pPr>
              <w:widowControl/>
              <w:textAlignment w:val="center"/>
              <w:rPr>
                <w:rFonts w:eastAsia="仿宋_GB2312"/>
                <w:kern w:val="0"/>
                <w:szCs w:val="21"/>
              </w:rPr>
            </w:pPr>
          </w:p>
        </w:tc>
        <w:tc>
          <w:tcPr>
            <w:tcW w:w="984" w:type="dxa"/>
          </w:tcPr>
          <w:p>
            <w:pPr>
              <w:widowControl/>
              <w:textAlignment w:val="center"/>
              <w:rPr>
                <w:rFonts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57" w:type="dxa"/>
            <w:bottom w:w="28" w:type="dxa"/>
            <w:right w:w="57" w:type="dxa"/>
          </w:tblCellMar>
        </w:tblPrEx>
        <w:trPr>
          <w:trHeight w:val="454" w:hRule="atLeast"/>
          <w:jc w:val="center"/>
        </w:trPr>
        <w:tc>
          <w:tcPr>
            <w:tcW w:w="1160" w:type="dxa"/>
            <w:vMerge w:val="continue"/>
            <w:noWrap w:val="0"/>
            <w:vAlign w:val="center"/>
          </w:tcPr>
          <w:p>
            <w:pPr>
              <w:widowControl/>
              <w:textAlignment w:val="center"/>
              <w:rPr>
                <w:rFonts w:hint="eastAsia" w:ascii="黑体" w:hAnsi="黑体" w:eastAsia="黑体" w:cs="黑体"/>
                <w:bCs/>
                <w:color w:val="000000"/>
                <w:kern w:val="0"/>
                <w:szCs w:val="21"/>
              </w:rPr>
            </w:pPr>
          </w:p>
        </w:tc>
        <w:tc>
          <w:tcPr>
            <w:tcW w:w="1250" w:type="dxa"/>
            <w:vMerge w:val="restart"/>
            <w:noWrap w:val="0"/>
            <w:vAlign w:val="center"/>
          </w:tcPr>
          <w:p>
            <w:pPr>
              <w:widowControl/>
              <w:textAlignment w:val="center"/>
              <w:rPr>
                <w:rFonts w:eastAsia="仿宋_GB2312"/>
                <w:b/>
                <w:color w:val="000000"/>
                <w:kern w:val="0"/>
                <w:szCs w:val="21"/>
              </w:rPr>
            </w:pPr>
            <w:r>
              <w:rPr>
                <w:rFonts w:eastAsia="仿宋_GB2312"/>
                <w:color w:val="000000"/>
                <w:kern w:val="0"/>
                <w:szCs w:val="21"/>
              </w:rPr>
              <w:t>12.保障食品药品与饮水安全</w:t>
            </w:r>
          </w:p>
        </w:tc>
        <w:tc>
          <w:tcPr>
            <w:tcW w:w="3299" w:type="dxa"/>
            <w:noWrap w:val="0"/>
            <w:vAlign w:val="center"/>
          </w:tcPr>
          <w:p>
            <w:pPr>
              <w:widowControl/>
              <w:textAlignment w:val="center"/>
              <w:rPr>
                <w:rFonts w:eastAsia="仿宋_GB2312"/>
                <w:color w:val="000000"/>
                <w:kern w:val="0"/>
                <w:szCs w:val="21"/>
              </w:rPr>
            </w:pPr>
            <w:r>
              <w:rPr>
                <w:rFonts w:eastAsia="仿宋_GB2312"/>
                <w:color w:val="000000"/>
                <w:kern w:val="0"/>
                <w:szCs w:val="21"/>
              </w:rPr>
              <w:t>建立食品安全全流程监管体系。</w:t>
            </w:r>
          </w:p>
        </w:tc>
        <w:tc>
          <w:tcPr>
            <w:tcW w:w="678" w:type="dxa"/>
            <w:noWrap w:val="0"/>
            <w:vAlign w:val="center"/>
          </w:tcPr>
          <w:p>
            <w:pPr>
              <w:widowControl/>
              <w:jc w:val="center"/>
              <w:textAlignment w:val="center"/>
              <w:rPr>
                <w:rFonts w:eastAsia="仿宋_GB2312"/>
                <w:color w:val="000000"/>
                <w:kern w:val="0"/>
                <w:szCs w:val="21"/>
              </w:rPr>
            </w:pPr>
            <w:r>
              <w:rPr>
                <w:rFonts w:eastAsia="仿宋_GB2312"/>
                <w:color w:val="000000"/>
                <w:kern w:val="0"/>
                <w:szCs w:val="21"/>
              </w:rPr>
              <w:t>2</w:t>
            </w:r>
          </w:p>
        </w:tc>
        <w:tc>
          <w:tcPr>
            <w:tcW w:w="5664" w:type="dxa"/>
            <w:noWrap w:val="0"/>
            <w:vAlign w:val="center"/>
          </w:tcPr>
          <w:p>
            <w:pPr>
              <w:widowControl/>
              <w:textAlignment w:val="center"/>
              <w:rPr>
                <w:rFonts w:eastAsia="仿宋_GB2312"/>
                <w:kern w:val="0"/>
                <w:szCs w:val="21"/>
              </w:rPr>
            </w:pPr>
            <w:r>
              <w:rPr>
                <w:rFonts w:eastAsia="仿宋_GB2312"/>
                <w:kern w:val="0"/>
                <w:szCs w:val="21"/>
              </w:rPr>
              <w:t>按要求建立健全食品安全全流程监管体系，未建立食品安全全流程监管体系，不得分；履行隐患排查、信息报告、协助执法和宣传教育等职责未达到省定要求的，每发现1处，扣0.1分，扣完为止。</w:t>
            </w:r>
          </w:p>
        </w:tc>
        <w:tc>
          <w:tcPr>
            <w:tcW w:w="1478" w:type="dxa"/>
            <w:noWrap w:val="0"/>
            <w:vAlign w:val="center"/>
          </w:tcPr>
          <w:p>
            <w:pPr>
              <w:widowControl/>
              <w:textAlignment w:val="center"/>
              <w:rPr>
                <w:rFonts w:eastAsia="仿宋_GB2312"/>
                <w:kern w:val="0"/>
                <w:szCs w:val="21"/>
              </w:rPr>
            </w:pPr>
          </w:p>
        </w:tc>
        <w:tc>
          <w:tcPr>
            <w:tcW w:w="984" w:type="dxa"/>
          </w:tcPr>
          <w:p>
            <w:pPr>
              <w:widowControl/>
              <w:textAlignment w:val="center"/>
              <w:rPr>
                <w:rFonts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57" w:type="dxa"/>
            <w:bottom w:w="28" w:type="dxa"/>
            <w:right w:w="57" w:type="dxa"/>
          </w:tblCellMar>
        </w:tblPrEx>
        <w:trPr>
          <w:trHeight w:val="454" w:hRule="atLeast"/>
          <w:jc w:val="center"/>
        </w:trPr>
        <w:tc>
          <w:tcPr>
            <w:tcW w:w="1160" w:type="dxa"/>
            <w:vMerge w:val="continue"/>
            <w:noWrap w:val="0"/>
            <w:vAlign w:val="center"/>
          </w:tcPr>
          <w:p>
            <w:pPr>
              <w:widowControl/>
              <w:textAlignment w:val="center"/>
              <w:rPr>
                <w:rFonts w:hint="eastAsia" w:ascii="黑体" w:hAnsi="黑体" w:eastAsia="黑体" w:cs="黑体"/>
                <w:bCs/>
                <w:color w:val="000000"/>
                <w:kern w:val="0"/>
                <w:szCs w:val="21"/>
              </w:rPr>
            </w:pPr>
          </w:p>
        </w:tc>
        <w:tc>
          <w:tcPr>
            <w:tcW w:w="1250" w:type="dxa"/>
            <w:vMerge w:val="continue"/>
            <w:noWrap w:val="0"/>
            <w:vAlign w:val="center"/>
          </w:tcPr>
          <w:p>
            <w:pPr>
              <w:widowControl/>
              <w:textAlignment w:val="center"/>
              <w:rPr>
                <w:rFonts w:eastAsia="仿宋_GB2312"/>
                <w:b/>
                <w:color w:val="000000"/>
                <w:kern w:val="0"/>
                <w:szCs w:val="21"/>
              </w:rPr>
            </w:pPr>
          </w:p>
        </w:tc>
        <w:tc>
          <w:tcPr>
            <w:tcW w:w="3299" w:type="dxa"/>
            <w:noWrap w:val="0"/>
            <w:vAlign w:val="center"/>
          </w:tcPr>
          <w:p>
            <w:pPr>
              <w:widowControl/>
              <w:textAlignment w:val="center"/>
              <w:rPr>
                <w:rFonts w:eastAsia="仿宋_GB2312"/>
                <w:color w:val="000000"/>
                <w:kern w:val="0"/>
                <w:szCs w:val="21"/>
              </w:rPr>
            </w:pPr>
            <w:r>
              <w:rPr>
                <w:rFonts w:eastAsia="仿宋_GB2312"/>
                <w:color w:val="000000"/>
                <w:kern w:val="0"/>
                <w:szCs w:val="21"/>
              </w:rPr>
              <w:t>从事农村集体聚餐的家宴厨师100%持健康证明。</w:t>
            </w:r>
          </w:p>
        </w:tc>
        <w:tc>
          <w:tcPr>
            <w:tcW w:w="678" w:type="dxa"/>
            <w:noWrap w:val="0"/>
            <w:vAlign w:val="center"/>
          </w:tcPr>
          <w:p>
            <w:pPr>
              <w:widowControl/>
              <w:jc w:val="center"/>
              <w:textAlignment w:val="center"/>
              <w:rPr>
                <w:rFonts w:eastAsia="仿宋_GB2312"/>
                <w:color w:val="000000"/>
                <w:kern w:val="0"/>
                <w:szCs w:val="21"/>
              </w:rPr>
            </w:pPr>
            <w:r>
              <w:rPr>
                <w:rFonts w:eastAsia="仿宋_GB2312"/>
                <w:color w:val="000000"/>
                <w:kern w:val="0"/>
                <w:szCs w:val="21"/>
              </w:rPr>
              <w:t>2</w:t>
            </w:r>
          </w:p>
        </w:tc>
        <w:tc>
          <w:tcPr>
            <w:tcW w:w="5664" w:type="dxa"/>
            <w:noWrap w:val="0"/>
            <w:vAlign w:val="center"/>
          </w:tcPr>
          <w:p>
            <w:pPr>
              <w:widowControl/>
              <w:textAlignment w:val="center"/>
              <w:rPr>
                <w:rFonts w:eastAsia="仿宋_GB2312"/>
                <w:kern w:val="0"/>
                <w:szCs w:val="21"/>
              </w:rPr>
            </w:pPr>
            <w:r>
              <w:rPr>
                <w:rFonts w:eastAsia="仿宋_GB2312"/>
                <w:kern w:val="0"/>
                <w:szCs w:val="21"/>
              </w:rPr>
              <w:t>按要求开展10桌以上的申报受理、登记、现场指导等工作，所有农村厨师须参加乡镇组织的食品安全知识培训并持有有效健康证明，未达到100%，扣1分。</w:t>
            </w:r>
          </w:p>
          <w:p>
            <w:pPr>
              <w:widowControl/>
              <w:textAlignment w:val="center"/>
              <w:rPr>
                <w:rFonts w:eastAsia="仿宋_GB2312"/>
                <w:kern w:val="0"/>
                <w:szCs w:val="21"/>
              </w:rPr>
            </w:pPr>
            <w:r>
              <w:rPr>
                <w:rFonts w:eastAsia="仿宋_GB2312"/>
                <w:kern w:val="0"/>
                <w:szCs w:val="21"/>
              </w:rPr>
              <w:t>随机抽查农村厨师备案登记信息，无农村厨师名册的，扣0.5分；核查身份信息、联系电话、体检日期、培训日期等事项，若虚假，每人次扣0.5分，扣完为止。</w:t>
            </w:r>
          </w:p>
        </w:tc>
        <w:tc>
          <w:tcPr>
            <w:tcW w:w="1478" w:type="dxa"/>
            <w:noWrap w:val="0"/>
            <w:vAlign w:val="center"/>
          </w:tcPr>
          <w:p>
            <w:pPr>
              <w:widowControl/>
              <w:textAlignment w:val="center"/>
              <w:rPr>
                <w:rFonts w:eastAsia="仿宋_GB2312"/>
                <w:kern w:val="0"/>
                <w:szCs w:val="21"/>
              </w:rPr>
            </w:pPr>
          </w:p>
        </w:tc>
        <w:tc>
          <w:tcPr>
            <w:tcW w:w="984" w:type="dxa"/>
          </w:tcPr>
          <w:p>
            <w:pPr>
              <w:widowControl/>
              <w:textAlignment w:val="center"/>
              <w:rPr>
                <w:rFonts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57" w:type="dxa"/>
            <w:bottom w:w="28" w:type="dxa"/>
            <w:right w:w="57" w:type="dxa"/>
          </w:tblCellMar>
        </w:tblPrEx>
        <w:trPr>
          <w:trHeight w:val="454" w:hRule="atLeast"/>
          <w:jc w:val="center"/>
        </w:trPr>
        <w:tc>
          <w:tcPr>
            <w:tcW w:w="1160" w:type="dxa"/>
            <w:vMerge w:val="continue"/>
            <w:noWrap w:val="0"/>
            <w:vAlign w:val="center"/>
          </w:tcPr>
          <w:p>
            <w:pPr>
              <w:widowControl/>
              <w:textAlignment w:val="center"/>
              <w:rPr>
                <w:rFonts w:hint="eastAsia" w:ascii="黑体" w:hAnsi="黑体" w:eastAsia="黑体" w:cs="黑体"/>
                <w:bCs/>
                <w:color w:val="000000"/>
                <w:kern w:val="0"/>
                <w:szCs w:val="21"/>
              </w:rPr>
            </w:pPr>
          </w:p>
        </w:tc>
        <w:tc>
          <w:tcPr>
            <w:tcW w:w="1250" w:type="dxa"/>
            <w:vMerge w:val="continue"/>
            <w:noWrap w:val="0"/>
            <w:vAlign w:val="center"/>
          </w:tcPr>
          <w:p>
            <w:pPr>
              <w:widowControl/>
              <w:textAlignment w:val="center"/>
              <w:rPr>
                <w:rFonts w:eastAsia="仿宋_GB2312"/>
                <w:b/>
                <w:color w:val="000000"/>
                <w:kern w:val="0"/>
                <w:szCs w:val="21"/>
              </w:rPr>
            </w:pPr>
          </w:p>
        </w:tc>
        <w:tc>
          <w:tcPr>
            <w:tcW w:w="3299" w:type="dxa"/>
            <w:noWrap w:val="0"/>
            <w:vAlign w:val="center"/>
          </w:tcPr>
          <w:p>
            <w:pPr>
              <w:widowControl/>
              <w:textAlignment w:val="center"/>
              <w:rPr>
                <w:rFonts w:eastAsia="仿宋_GB2312"/>
                <w:color w:val="000000"/>
                <w:kern w:val="0"/>
                <w:szCs w:val="21"/>
              </w:rPr>
            </w:pPr>
            <w:r>
              <w:rPr>
                <w:rFonts w:eastAsia="仿宋_GB2312"/>
                <w:color w:val="000000"/>
                <w:kern w:val="0"/>
                <w:szCs w:val="21"/>
              </w:rPr>
              <w:t>农贸市场禁止野生动物销售</w:t>
            </w:r>
          </w:p>
        </w:tc>
        <w:tc>
          <w:tcPr>
            <w:tcW w:w="678" w:type="dxa"/>
            <w:noWrap w:val="0"/>
            <w:vAlign w:val="center"/>
          </w:tcPr>
          <w:p>
            <w:pPr>
              <w:widowControl/>
              <w:jc w:val="center"/>
              <w:textAlignment w:val="center"/>
              <w:rPr>
                <w:rFonts w:eastAsia="仿宋_GB2312"/>
                <w:color w:val="000000"/>
                <w:kern w:val="0"/>
                <w:szCs w:val="21"/>
              </w:rPr>
            </w:pPr>
            <w:r>
              <w:rPr>
                <w:rFonts w:eastAsia="仿宋_GB2312"/>
                <w:color w:val="000000"/>
                <w:kern w:val="0"/>
                <w:szCs w:val="21"/>
              </w:rPr>
              <w:t>2</w:t>
            </w:r>
          </w:p>
        </w:tc>
        <w:tc>
          <w:tcPr>
            <w:tcW w:w="5664" w:type="dxa"/>
            <w:noWrap w:val="0"/>
            <w:vAlign w:val="center"/>
          </w:tcPr>
          <w:p>
            <w:pPr>
              <w:widowControl/>
              <w:textAlignment w:val="center"/>
              <w:rPr>
                <w:rFonts w:eastAsia="仿宋_GB2312"/>
                <w:kern w:val="0"/>
                <w:szCs w:val="21"/>
              </w:rPr>
            </w:pPr>
            <w:r>
              <w:rPr>
                <w:rFonts w:eastAsia="仿宋_GB2312"/>
                <w:kern w:val="0"/>
                <w:szCs w:val="21"/>
              </w:rPr>
              <w:t>现场查看农贸市场及农家乐等餐馆，发现有非法销售或食用野生动物的，扣2分。</w:t>
            </w:r>
          </w:p>
        </w:tc>
        <w:tc>
          <w:tcPr>
            <w:tcW w:w="1478" w:type="dxa"/>
            <w:noWrap w:val="0"/>
            <w:vAlign w:val="center"/>
          </w:tcPr>
          <w:p>
            <w:pPr>
              <w:widowControl/>
              <w:textAlignment w:val="center"/>
              <w:rPr>
                <w:rFonts w:eastAsia="仿宋_GB2312"/>
                <w:kern w:val="0"/>
                <w:szCs w:val="21"/>
              </w:rPr>
            </w:pPr>
          </w:p>
        </w:tc>
        <w:tc>
          <w:tcPr>
            <w:tcW w:w="984" w:type="dxa"/>
          </w:tcPr>
          <w:p>
            <w:pPr>
              <w:widowControl/>
              <w:textAlignment w:val="center"/>
              <w:rPr>
                <w:rFonts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57" w:type="dxa"/>
            <w:bottom w:w="28" w:type="dxa"/>
            <w:right w:w="57" w:type="dxa"/>
          </w:tblCellMar>
        </w:tblPrEx>
        <w:trPr>
          <w:trHeight w:val="454" w:hRule="atLeast"/>
          <w:jc w:val="center"/>
        </w:trPr>
        <w:tc>
          <w:tcPr>
            <w:tcW w:w="1160" w:type="dxa"/>
            <w:vMerge w:val="restart"/>
            <w:noWrap w:val="0"/>
            <w:vAlign w:val="center"/>
          </w:tcPr>
          <w:p>
            <w:pPr>
              <w:rPr>
                <w:rFonts w:hint="eastAsia" w:ascii="黑体" w:hAnsi="黑体" w:eastAsia="黑体" w:cs="黑体"/>
                <w:bCs/>
                <w:color w:val="000000"/>
                <w:szCs w:val="21"/>
              </w:rPr>
            </w:pPr>
            <w:r>
              <w:rPr>
                <w:rFonts w:hint="eastAsia" w:ascii="黑体" w:hAnsi="黑体" w:eastAsia="黑体" w:cs="黑体"/>
                <w:bCs/>
                <w:color w:val="000000"/>
                <w:kern w:val="0"/>
                <w:szCs w:val="21"/>
              </w:rPr>
              <w:t>五、建设健康环境（22分）</w:t>
            </w:r>
          </w:p>
        </w:tc>
        <w:tc>
          <w:tcPr>
            <w:tcW w:w="1250" w:type="dxa"/>
            <w:vMerge w:val="restart"/>
            <w:noWrap w:val="0"/>
            <w:vAlign w:val="center"/>
          </w:tcPr>
          <w:p>
            <w:pPr>
              <w:widowControl/>
              <w:textAlignment w:val="center"/>
              <w:rPr>
                <w:rFonts w:eastAsia="仿宋_GB2312"/>
                <w:b/>
                <w:color w:val="000000"/>
                <w:szCs w:val="21"/>
              </w:rPr>
            </w:pPr>
            <w:r>
              <w:rPr>
                <w:rFonts w:eastAsia="仿宋_GB2312"/>
                <w:color w:val="000000"/>
                <w:kern w:val="0"/>
                <w:szCs w:val="21"/>
              </w:rPr>
              <w:t>13.加强环境治理</w:t>
            </w:r>
          </w:p>
        </w:tc>
        <w:tc>
          <w:tcPr>
            <w:tcW w:w="3299" w:type="dxa"/>
            <w:noWrap w:val="0"/>
            <w:vAlign w:val="center"/>
          </w:tcPr>
          <w:p>
            <w:pPr>
              <w:widowControl/>
              <w:textAlignment w:val="center"/>
              <w:rPr>
                <w:rFonts w:eastAsia="仿宋_GB2312"/>
                <w:b/>
                <w:color w:val="000000"/>
                <w:kern w:val="0"/>
                <w:szCs w:val="21"/>
              </w:rPr>
            </w:pPr>
            <w:r>
              <w:rPr>
                <w:rFonts w:eastAsia="仿宋_GB2312"/>
                <w:color w:val="000000"/>
                <w:kern w:val="0"/>
                <w:szCs w:val="21"/>
              </w:rPr>
              <w:t>生活垃圾分类收集全覆盖，生活垃圾减量处理行政村比例达到95%</w:t>
            </w:r>
          </w:p>
        </w:tc>
        <w:tc>
          <w:tcPr>
            <w:tcW w:w="678" w:type="dxa"/>
            <w:noWrap w:val="0"/>
            <w:vAlign w:val="center"/>
          </w:tcPr>
          <w:p>
            <w:pPr>
              <w:widowControl/>
              <w:jc w:val="center"/>
              <w:textAlignment w:val="center"/>
              <w:rPr>
                <w:rFonts w:eastAsia="仿宋_GB2312"/>
                <w:bCs/>
                <w:color w:val="000000"/>
                <w:kern w:val="0"/>
                <w:szCs w:val="21"/>
              </w:rPr>
            </w:pPr>
            <w:r>
              <w:rPr>
                <w:rFonts w:eastAsia="仿宋_GB2312"/>
                <w:bCs/>
                <w:color w:val="000000"/>
                <w:kern w:val="0"/>
                <w:szCs w:val="21"/>
              </w:rPr>
              <w:t>2</w:t>
            </w:r>
          </w:p>
        </w:tc>
        <w:tc>
          <w:tcPr>
            <w:tcW w:w="5664" w:type="dxa"/>
            <w:noWrap w:val="0"/>
            <w:vAlign w:val="center"/>
          </w:tcPr>
          <w:p>
            <w:pPr>
              <w:widowControl/>
              <w:textAlignment w:val="center"/>
              <w:rPr>
                <w:rFonts w:eastAsia="仿宋_GB2312"/>
                <w:color w:val="000000"/>
                <w:kern w:val="0"/>
                <w:szCs w:val="21"/>
              </w:rPr>
            </w:pPr>
            <w:r>
              <w:rPr>
                <w:rFonts w:eastAsia="仿宋_GB2312"/>
                <w:color w:val="000000"/>
                <w:kern w:val="0"/>
                <w:szCs w:val="21"/>
              </w:rPr>
              <w:t>现场查看居民区、餐饮单位、一般单位生活垃圾减量处理和分类收集工作，无分类举措的，扣0.4分，无回收网络的，扣0.3分，无分类收集实绩的，扣0.3分；</w:t>
            </w:r>
          </w:p>
          <w:p>
            <w:pPr>
              <w:widowControl/>
              <w:textAlignment w:val="center"/>
              <w:rPr>
                <w:rFonts w:eastAsia="仿宋_GB2312"/>
                <w:color w:val="000000"/>
                <w:kern w:val="0"/>
                <w:szCs w:val="21"/>
              </w:rPr>
            </w:pPr>
            <w:r>
              <w:rPr>
                <w:rFonts w:eastAsia="仿宋_GB2312"/>
                <w:color w:val="000000"/>
                <w:kern w:val="0"/>
                <w:szCs w:val="21"/>
              </w:rPr>
              <w:t>根据《农村生活垃圾分类处理规范》要求，实行生活垃圾减量处理行政村比例未达要求，每低1个百分点扣0.2分，最多扣1分。</w:t>
            </w:r>
          </w:p>
        </w:tc>
        <w:tc>
          <w:tcPr>
            <w:tcW w:w="1478" w:type="dxa"/>
            <w:noWrap w:val="0"/>
            <w:vAlign w:val="center"/>
          </w:tcPr>
          <w:p>
            <w:pPr>
              <w:widowControl/>
              <w:textAlignment w:val="center"/>
              <w:rPr>
                <w:rFonts w:eastAsia="仿宋_GB2312"/>
                <w:color w:val="000000"/>
                <w:kern w:val="0"/>
                <w:szCs w:val="21"/>
              </w:rPr>
            </w:pPr>
          </w:p>
        </w:tc>
        <w:tc>
          <w:tcPr>
            <w:tcW w:w="984" w:type="dxa"/>
          </w:tcPr>
          <w:p>
            <w:pPr>
              <w:widowControl/>
              <w:textAlignment w:val="center"/>
              <w:rPr>
                <w:rFonts w:eastAsia="仿宋_GB2312"/>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57" w:type="dxa"/>
            <w:bottom w:w="28" w:type="dxa"/>
            <w:right w:w="57" w:type="dxa"/>
          </w:tblCellMar>
        </w:tblPrEx>
        <w:trPr>
          <w:trHeight w:val="454" w:hRule="atLeast"/>
          <w:jc w:val="center"/>
        </w:trPr>
        <w:tc>
          <w:tcPr>
            <w:tcW w:w="1160" w:type="dxa"/>
            <w:vMerge w:val="continue"/>
            <w:noWrap w:val="0"/>
            <w:vAlign w:val="center"/>
          </w:tcPr>
          <w:p>
            <w:pPr>
              <w:widowControl/>
              <w:textAlignment w:val="center"/>
              <w:rPr>
                <w:rFonts w:hint="eastAsia" w:ascii="黑体" w:hAnsi="黑体" w:eastAsia="黑体" w:cs="黑体"/>
                <w:bCs/>
                <w:color w:val="000000"/>
                <w:szCs w:val="21"/>
              </w:rPr>
            </w:pPr>
          </w:p>
        </w:tc>
        <w:tc>
          <w:tcPr>
            <w:tcW w:w="1250" w:type="dxa"/>
            <w:vMerge w:val="continue"/>
            <w:noWrap w:val="0"/>
            <w:vAlign w:val="center"/>
          </w:tcPr>
          <w:p>
            <w:pPr>
              <w:widowControl/>
              <w:textAlignment w:val="center"/>
              <w:rPr>
                <w:rFonts w:eastAsia="仿宋_GB2312"/>
                <w:b/>
                <w:color w:val="000000"/>
                <w:szCs w:val="21"/>
              </w:rPr>
            </w:pPr>
          </w:p>
        </w:tc>
        <w:tc>
          <w:tcPr>
            <w:tcW w:w="3299" w:type="dxa"/>
            <w:noWrap w:val="0"/>
            <w:vAlign w:val="center"/>
          </w:tcPr>
          <w:p>
            <w:pPr>
              <w:widowControl/>
              <w:textAlignment w:val="center"/>
              <w:rPr>
                <w:rFonts w:eastAsia="仿宋_GB2312"/>
                <w:b/>
                <w:color w:val="000000"/>
                <w:kern w:val="0"/>
                <w:szCs w:val="21"/>
              </w:rPr>
            </w:pPr>
            <w:r>
              <w:rPr>
                <w:rFonts w:eastAsia="仿宋_GB2312"/>
                <w:color w:val="000000"/>
                <w:kern w:val="0"/>
                <w:szCs w:val="21"/>
              </w:rPr>
              <w:t>建筑垃圾处置率达80%</w:t>
            </w:r>
          </w:p>
        </w:tc>
        <w:tc>
          <w:tcPr>
            <w:tcW w:w="678" w:type="dxa"/>
            <w:noWrap w:val="0"/>
            <w:vAlign w:val="center"/>
          </w:tcPr>
          <w:p>
            <w:pPr>
              <w:widowControl/>
              <w:jc w:val="center"/>
              <w:textAlignment w:val="center"/>
              <w:rPr>
                <w:rFonts w:eastAsia="仿宋_GB2312"/>
                <w:bCs/>
                <w:color w:val="000000"/>
                <w:kern w:val="0"/>
                <w:szCs w:val="21"/>
              </w:rPr>
            </w:pPr>
            <w:r>
              <w:rPr>
                <w:rFonts w:eastAsia="仿宋_GB2312"/>
                <w:bCs/>
                <w:color w:val="000000"/>
                <w:kern w:val="0"/>
                <w:szCs w:val="21"/>
              </w:rPr>
              <w:t>2</w:t>
            </w:r>
          </w:p>
        </w:tc>
        <w:tc>
          <w:tcPr>
            <w:tcW w:w="5664" w:type="dxa"/>
            <w:noWrap w:val="0"/>
            <w:vAlign w:val="center"/>
          </w:tcPr>
          <w:p>
            <w:pPr>
              <w:widowControl/>
              <w:textAlignment w:val="center"/>
              <w:rPr>
                <w:rFonts w:eastAsia="仿宋_GB2312"/>
                <w:color w:val="000000"/>
                <w:kern w:val="0"/>
                <w:szCs w:val="21"/>
              </w:rPr>
            </w:pPr>
            <w:r>
              <w:rPr>
                <w:rFonts w:eastAsia="仿宋_GB2312"/>
                <w:color w:val="000000"/>
                <w:kern w:val="0"/>
                <w:szCs w:val="21"/>
              </w:rPr>
              <w:t>现场查看处置点，未按照《城市建筑垃圾管理规定》，妥善处置建筑垃圾，每低1个百分点扣0.5分，扣完为止。</w:t>
            </w:r>
          </w:p>
        </w:tc>
        <w:tc>
          <w:tcPr>
            <w:tcW w:w="1478" w:type="dxa"/>
            <w:noWrap w:val="0"/>
            <w:vAlign w:val="center"/>
          </w:tcPr>
          <w:p>
            <w:pPr>
              <w:widowControl/>
              <w:textAlignment w:val="center"/>
              <w:rPr>
                <w:rFonts w:eastAsia="仿宋_GB2312"/>
                <w:color w:val="000000"/>
                <w:kern w:val="0"/>
                <w:szCs w:val="21"/>
              </w:rPr>
            </w:pPr>
          </w:p>
        </w:tc>
        <w:tc>
          <w:tcPr>
            <w:tcW w:w="984" w:type="dxa"/>
          </w:tcPr>
          <w:p>
            <w:pPr>
              <w:widowControl/>
              <w:textAlignment w:val="center"/>
              <w:rPr>
                <w:rFonts w:eastAsia="仿宋_GB2312"/>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57" w:type="dxa"/>
            <w:bottom w:w="28" w:type="dxa"/>
            <w:right w:w="57" w:type="dxa"/>
          </w:tblCellMar>
        </w:tblPrEx>
        <w:trPr>
          <w:trHeight w:val="454" w:hRule="atLeast"/>
          <w:jc w:val="center"/>
        </w:trPr>
        <w:tc>
          <w:tcPr>
            <w:tcW w:w="1160" w:type="dxa"/>
            <w:vMerge w:val="continue"/>
            <w:noWrap w:val="0"/>
            <w:vAlign w:val="center"/>
          </w:tcPr>
          <w:p>
            <w:pPr>
              <w:widowControl/>
              <w:textAlignment w:val="center"/>
              <w:rPr>
                <w:rFonts w:hint="eastAsia" w:ascii="黑体" w:hAnsi="黑体" w:eastAsia="黑体" w:cs="黑体"/>
                <w:bCs/>
                <w:color w:val="000000"/>
                <w:szCs w:val="21"/>
              </w:rPr>
            </w:pPr>
          </w:p>
        </w:tc>
        <w:tc>
          <w:tcPr>
            <w:tcW w:w="1250" w:type="dxa"/>
            <w:vMerge w:val="continue"/>
            <w:noWrap w:val="0"/>
            <w:vAlign w:val="center"/>
          </w:tcPr>
          <w:p>
            <w:pPr>
              <w:widowControl/>
              <w:textAlignment w:val="center"/>
              <w:rPr>
                <w:rFonts w:eastAsia="仿宋_GB2312"/>
                <w:b/>
                <w:color w:val="000000"/>
                <w:szCs w:val="21"/>
              </w:rPr>
            </w:pPr>
          </w:p>
        </w:tc>
        <w:tc>
          <w:tcPr>
            <w:tcW w:w="3299" w:type="dxa"/>
            <w:noWrap w:val="0"/>
            <w:vAlign w:val="center"/>
          </w:tcPr>
          <w:p>
            <w:pPr>
              <w:widowControl/>
              <w:textAlignment w:val="center"/>
              <w:rPr>
                <w:rFonts w:eastAsia="仿宋_GB2312"/>
                <w:color w:val="000000"/>
                <w:kern w:val="0"/>
                <w:szCs w:val="21"/>
              </w:rPr>
            </w:pPr>
            <w:r>
              <w:rPr>
                <w:rFonts w:eastAsia="仿宋_GB2312"/>
                <w:color w:val="000000"/>
                <w:kern w:val="0"/>
                <w:szCs w:val="21"/>
              </w:rPr>
              <w:t>开展灭鼠、灭蟑、灭蚊、灭蝇综合防制工作，建成区病媒生物密度控制水平达到C级及以上</w:t>
            </w:r>
          </w:p>
        </w:tc>
        <w:tc>
          <w:tcPr>
            <w:tcW w:w="678" w:type="dxa"/>
            <w:noWrap w:val="0"/>
            <w:vAlign w:val="center"/>
          </w:tcPr>
          <w:p>
            <w:pPr>
              <w:widowControl/>
              <w:jc w:val="center"/>
              <w:textAlignment w:val="center"/>
              <w:rPr>
                <w:rFonts w:eastAsia="仿宋_GB2312"/>
                <w:bCs/>
                <w:color w:val="000000"/>
                <w:kern w:val="0"/>
                <w:szCs w:val="21"/>
              </w:rPr>
            </w:pPr>
            <w:r>
              <w:rPr>
                <w:rFonts w:eastAsia="仿宋_GB2312"/>
                <w:bCs/>
                <w:color w:val="000000"/>
                <w:kern w:val="0"/>
                <w:szCs w:val="21"/>
              </w:rPr>
              <w:t>3</w:t>
            </w:r>
          </w:p>
        </w:tc>
        <w:tc>
          <w:tcPr>
            <w:tcW w:w="5664" w:type="dxa"/>
            <w:noWrap w:val="0"/>
            <w:vAlign w:val="center"/>
          </w:tcPr>
          <w:p>
            <w:pPr>
              <w:widowControl/>
              <w:textAlignment w:val="center"/>
              <w:rPr>
                <w:rFonts w:eastAsia="仿宋_GB2312"/>
                <w:color w:val="000000"/>
                <w:kern w:val="0"/>
                <w:szCs w:val="21"/>
              </w:rPr>
            </w:pPr>
            <w:r>
              <w:rPr>
                <w:rFonts w:eastAsia="仿宋_GB2312"/>
                <w:color w:val="000000"/>
                <w:kern w:val="0"/>
                <w:szCs w:val="21"/>
              </w:rPr>
              <w:t>未组织开展孳生地清理，扣1分；未开展春秋灭鼠、夏秋灭蚊蝇活动，扣1分；未定期开展四害密度监测，扣1分；未开展以灭蚊灭蝇为重点的除四害村建设，扣0.5分。</w:t>
            </w:r>
          </w:p>
          <w:p>
            <w:pPr>
              <w:widowControl/>
              <w:textAlignment w:val="center"/>
              <w:rPr>
                <w:rFonts w:eastAsia="仿宋_GB2312"/>
                <w:color w:val="000000"/>
                <w:kern w:val="0"/>
                <w:szCs w:val="21"/>
              </w:rPr>
            </w:pPr>
            <w:r>
              <w:rPr>
                <w:rFonts w:eastAsia="仿宋_GB2312"/>
                <w:color w:val="000000"/>
                <w:kern w:val="0"/>
                <w:szCs w:val="21"/>
              </w:rPr>
              <w:t>镇区鼠、蚊、蝇、蜚蠊密度控制水平未达到C级标准，扣2分；现场发现四害侵害的，每1处扣0.2分，最多扣2分。</w:t>
            </w:r>
          </w:p>
        </w:tc>
        <w:tc>
          <w:tcPr>
            <w:tcW w:w="1478" w:type="dxa"/>
            <w:noWrap w:val="0"/>
            <w:vAlign w:val="center"/>
          </w:tcPr>
          <w:p>
            <w:pPr>
              <w:widowControl/>
              <w:textAlignment w:val="center"/>
              <w:rPr>
                <w:rFonts w:eastAsia="仿宋_GB2312"/>
                <w:color w:val="000000"/>
                <w:kern w:val="0"/>
                <w:szCs w:val="21"/>
              </w:rPr>
            </w:pPr>
          </w:p>
        </w:tc>
        <w:tc>
          <w:tcPr>
            <w:tcW w:w="984" w:type="dxa"/>
          </w:tcPr>
          <w:p>
            <w:pPr>
              <w:widowControl/>
              <w:textAlignment w:val="center"/>
              <w:rPr>
                <w:rFonts w:eastAsia="仿宋_GB2312"/>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57" w:type="dxa"/>
            <w:bottom w:w="28" w:type="dxa"/>
            <w:right w:w="57" w:type="dxa"/>
          </w:tblCellMar>
        </w:tblPrEx>
        <w:trPr>
          <w:trHeight w:val="454" w:hRule="atLeast"/>
          <w:jc w:val="center"/>
        </w:trPr>
        <w:tc>
          <w:tcPr>
            <w:tcW w:w="1160" w:type="dxa"/>
            <w:vMerge w:val="continue"/>
            <w:noWrap w:val="0"/>
            <w:vAlign w:val="center"/>
          </w:tcPr>
          <w:p>
            <w:pPr>
              <w:widowControl/>
              <w:textAlignment w:val="center"/>
              <w:rPr>
                <w:rFonts w:hint="eastAsia" w:ascii="黑体" w:hAnsi="黑体" w:eastAsia="黑体" w:cs="黑体"/>
                <w:bCs/>
                <w:color w:val="000000"/>
                <w:szCs w:val="21"/>
              </w:rPr>
            </w:pPr>
          </w:p>
        </w:tc>
        <w:tc>
          <w:tcPr>
            <w:tcW w:w="1250" w:type="dxa"/>
            <w:vMerge w:val="continue"/>
            <w:noWrap w:val="0"/>
            <w:vAlign w:val="center"/>
          </w:tcPr>
          <w:p>
            <w:pPr>
              <w:widowControl/>
              <w:textAlignment w:val="center"/>
              <w:rPr>
                <w:rFonts w:eastAsia="仿宋_GB2312"/>
                <w:b/>
                <w:color w:val="000000"/>
                <w:szCs w:val="21"/>
              </w:rPr>
            </w:pPr>
          </w:p>
        </w:tc>
        <w:tc>
          <w:tcPr>
            <w:tcW w:w="3299" w:type="dxa"/>
            <w:noWrap w:val="0"/>
            <w:vAlign w:val="center"/>
          </w:tcPr>
          <w:p>
            <w:pPr>
              <w:widowControl/>
              <w:spacing w:line="300" w:lineRule="exact"/>
              <w:textAlignment w:val="center"/>
              <w:rPr>
                <w:rFonts w:eastAsia="仿宋_GB2312"/>
                <w:color w:val="000000"/>
                <w:kern w:val="0"/>
                <w:szCs w:val="21"/>
              </w:rPr>
            </w:pPr>
            <w:r>
              <w:rPr>
                <w:rFonts w:eastAsia="仿宋_GB2312"/>
                <w:color w:val="000000"/>
                <w:kern w:val="0"/>
                <w:szCs w:val="21"/>
              </w:rPr>
              <w:t>农村生活污水得到有效治理，应接农户生活污水接户率不低于75%，无污水直排现象，建成区雨污分流全覆盖</w:t>
            </w:r>
          </w:p>
        </w:tc>
        <w:tc>
          <w:tcPr>
            <w:tcW w:w="678" w:type="dxa"/>
            <w:noWrap w:val="0"/>
            <w:vAlign w:val="center"/>
          </w:tcPr>
          <w:p>
            <w:pPr>
              <w:widowControl/>
              <w:spacing w:line="300" w:lineRule="exact"/>
              <w:jc w:val="center"/>
              <w:textAlignment w:val="center"/>
              <w:rPr>
                <w:rFonts w:eastAsia="仿宋_GB2312"/>
                <w:bCs/>
                <w:kern w:val="0"/>
                <w:szCs w:val="21"/>
              </w:rPr>
            </w:pPr>
            <w:r>
              <w:rPr>
                <w:rFonts w:eastAsia="仿宋_GB2312"/>
                <w:bCs/>
                <w:kern w:val="0"/>
                <w:szCs w:val="21"/>
              </w:rPr>
              <w:t>3</w:t>
            </w:r>
          </w:p>
          <w:p>
            <w:pPr>
              <w:widowControl/>
              <w:spacing w:line="300" w:lineRule="exact"/>
              <w:jc w:val="center"/>
              <w:textAlignment w:val="center"/>
              <w:rPr>
                <w:rFonts w:eastAsia="仿宋_GB2312"/>
                <w:bCs/>
                <w:color w:val="FF0000"/>
                <w:kern w:val="0"/>
                <w:szCs w:val="21"/>
              </w:rPr>
            </w:pPr>
          </w:p>
        </w:tc>
        <w:tc>
          <w:tcPr>
            <w:tcW w:w="5664" w:type="dxa"/>
            <w:noWrap w:val="0"/>
            <w:vAlign w:val="center"/>
          </w:tcPr>
          <w:p>
            <w:pPr>
              <w:widowControl/>
              <w:spacing w:line="300" w:lineRule="exact"/>
              <w:textAlignment w:val="center"/>
              <w:rPr>
                <w:rFonts w:eastAsia="仿宋_GB2312"/>
                <w:color w:val="000000"/>
                <w:kern w:val="0"/>
                <w:szCs w:val="21"/>
              </w:rPr>
            </w:pPr>
            <w:r>
              <w:rPr>
                <w:rFonts w:eastAsia="仿宋_GB2312"/>
                <w:color w:val="000000"/>
                <w:kern w:val="0"/>
                <w:szCs w:val="21"/>
              </w:rPr>
              <w:t>应接农户生活污水接户率=农户生活污水接户数÷应接农户总数×100%。</w:t>
            </w:r>
          </w:p>
          <w:p>
            <w:pPr>
              <w:widowControl/>
              <w:spacing w:line="300" w:lineRule="exact"/>
              <w:textAlignment w:val="center"/>
              <w:rPr>
                <w:rFonts w:eastAsia="仿宋_GB2312"/>
                <w:color w:val="000000"/>
                <w:kern w:val="0"/>
                <w:szCs w:val="21"/>
              </w:rPr>
            </w:pPr>
            <w:r>
              <w:rPr>
                <w:rFonts w:eastAsia="仿宋_GB2312"/>
                <w:color w:val="000000"/>
                <w:kern w:val="0"/>
                <w:szCs w:val="21"/>
              </w:rPr>
              <w:t>农村生活污水处理设施行政村覆盖率未达到 95%以每降低 1%扣 0.1 分，最多扣1分；处理设施出水水质委托检测未实现全覆盖不得分全覆盖，出水水质达标率未达到 95%以上，达标率每降低1%扣0.1分，最多扣0.5分；农村生活污水处理设施标准化运维未全覆盖，发现1处扣0.1分，最多扣0.5分。</w:t>
            </w:r>
          </w:p>
          <w:p>
            <w:pPr>
              <w:widowControl/>
              <w:spacing w:line="300" w:lineRule="exact"/>
              <w:textAlignment w:val="center"/>
              <w:rPr>
                <w:rFonts w:eastAsia="仿宋_GB2312"/>
                <w:color w:val="000000"/>
                <w:kern w:val="0"/>
                <w:szCs w:val="21"/>
              </w:rPr>
            </w:pPr>
            <w:r>
              <w:rPr>
                <w:rFonts w:eastAsia="仿宋_GB2312"/>
                <w:color w:val="000000"/>
                <w:kern w:val="0"/>
                <w:szCs w:val="21"/>
              </w:rPr>
              <w:t>建成区现场发现1处污水直排口，扣0.1分，最多扣0.5分。</w:t>
            </w:r>
          </w:p>
          <w:p>
            <w:pPr>
              <w:widowControl/>
              <w:spacing w:line="300" w:lineRule="exact"/>
              <w:textAlignment w:val="center"/>
              <w:rPr>
                <w:rFonts w:eastAsia="仿宋_GB2312"/>
                <w:color w:val="000000"/>
                <w:kern w:val="0"/>
                <w:szCs w:val="21"/>
              </w:rPr>
            </w:pPr>
            <w:r>
              <w:rPr>
                <w:rFonts w:eastAsia="仿宋_GB2312"/>
                <w:color w:val="000000"/>
                <w:kern w:val="0"/>
                <w:szCs w:val="21"/>
              </w:rPr>
              <w:t>新建小区必须严格实行雨污分流，阳台污水设置独立的排水系统，每发现1处雨污混流扣0.1分，最多扣0.5分。</w:t>
            </w:r>
          </w:p>
        </w:tc>
        <w:tc>
          <w:tcPr>
            <w:tcW w:w="1478" w:type="dxa"/>
            <w:noWrap w:val="0"/>
            <w:vAlign w:val="center"/>
          </w:tcPr>
          <w:p>
            <w:pPr>
              <w:widowControl/>
              <w:textAlignment w:val="center"/>
              <w:rPr>
                <w:rFonts w:eastAsia="仿宋_GB2312"/>
                <w:color w:val="000000"/>
                <w:kern w:val="0"/>
                <w:szCs w:val="21"/>
              </w:rPr>
            </w:pPr>
          </w:p>
        </w:tc>
        <w:tc>
          <w:tcPr>
            <w:tcW w:w="984" w:type="dxa"/>
          </w:tcPr>
          <w:p>
            <w:pPr>
              <w:widowControl/>
              <w:textAlignment w:val="center"/>
              <w:rPr>
                <w:rFonts w:eastAsia="仿宋_GB2312"/>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57" w:type="dxa"/>
            <w:bottom w:w="28" w:type="dxa"/>
            <w:right w:w="57" w:type="dxa"/>
          </w:tblCellMar>
        </w:tblPrEx>
        <w:trPr>
          <w:trHeight w:val="454" w:hRule="atLeast"/>
          <w:jc w:val="center"/>
        </w:trPr>
        <w:tc>
          <w:tcPr>
            <w:tcW w:w="1160" w:type="dxa"/>
            <w:vMerge w:val="continue"/>
            <w:noWrap w:val="0"/>
            <w:vAlign w:val="center"/>
          </w:tcPr>
          <w:p>
            <w:pPr>
              <w:widowControl/>
              <w:textAlignment w:val="center"/>
              <w:rPr>
                <w:rFonts w:hint="eastAsia" w:ascii="黑体" w:hAnsi="黑体" w:eastAsia="黑体" w:cs="黑体"/>
                <w:bCs/>
                <w:color w:val="000000"/>
                <w:szCs w:val="21"/>
              </w:rPr>
            </w:pPr>
          </w:p>
        </w:tc>
        <w:tc>
          <w:tcPr>
            <w:tcW w:w="1250" w:type="dxa"/>
            <w:noWrap w:val="0"/>
            <w:vAlign w:val="center"/>
          </w:tcPr>
          <w:p>
            <w:pPr>
              <w:rPr>
                <w:rFonts w:eastAsia="仿宋_GB2312"/>
                <w:b/>
                <w:color w:val="000000"/>
                <w:szCs w:val="21"/>
              </w:rPr>
            </w:pPr>
            <w:r>
              <w:rPr>
                <w:rFonts w:eastAsia="仿宋_GB2312"/>
                <w:color w:val="000000"/>
                <w:kern w:val="0"/>
                <w:szCs w:val="21"/>
              </w:rPr>
              <w:t>14.全面深化厕所革命</w:t>
            </w:r>
          </w:p>
        </w:tc>
        <w:tc>
          <w:tcPr>
            <w:tcW w:w="3299" w:type="dxa"/>
            <w:noWrap w:val="0"/>
            <w:vAlign w:val="center"/>
          </w:tcPr>
          <w:p>
            <w:pPr>
              <w:widowControl/>
              <w:spacing w:line="300" w:lineRule="exact"/>
              <w:textAlignment w:val="center"/>
              <w:rPr>
                <w:rFonts w:eastAsia="仿宋_GB2312"/>
                <w:color w:val="000000"/>
                <w:kern w:val="0"/>
                <w:szCs w:val="21"/>
              </w:rPr>
            </w:pPr>
            <w:r>
              <w:rPr>
                <w:rFonts w:eastAsia="仿宋_GB2312"/>
                <w:color w:val="000000"/>
                <w:kern w:val="0"/>
                <w:szCs w:val="21"/>
              </w:rPr>
              <w:t>建成区公共厕所配备非接触式洗手设施，管理规范</w:t>
            </w:r>
          </w:p>
        </w:tc>
        <w:tc>
          <w:tcPr>
            <w:tcW w:w="678" w:type="dxa"/>
            <w:noWrap w:val="0"/>
            <w:vAlign w:val="center"/>
          </w:tcPr>
          <w:p>
            <w:pPr>
              <w:widowControl/>
              <w:spacing w:line="300" w:lineRule="exact"/>
              <w:jc w:val="center"/>
              <w:textAlignment w:val="center"/>
              <w:rPr>
                <w:rFonts w:eastAsia="仿宋_GB2312"/>
                <w:bCs/>
                <w:color w:val="000000"/>
                <w:kern w:val="0"/>
                <w:szCs w:val="21"/>
              </w:rPr>
            </w:pPr>
            <w:r>
              <w:rPr>
                <w:rFonts w:eastAsia="仿宋_GB2312"/>
                <w:bCs/>
                <w:color w:val="000000"/>
                <w:kern w:val="0"/>
                <w:szCs w:val="21"/>
              </w:rPr>
              <w:t>4</w:t>
            </w:r>
          </w:p>
        </w:tc>
        <w:tc>
          <w:tcPr>
            <w:tcW w:w="5664" w:type="dxa"/>
            <w:noWrap w:val="0"/>
            <w:vAlign w:val="center"/>
          </w:tcPr>
          <w:p>
            <w:pPr>
              <w:widowControl/>
              <w:spacing w:line="300" w:lineRule="exact"/>
              <w:textAlignment w:val="center"/>
              <w:rPr>
                <w:rFonts w:eastAsia="仿宋_GB2312"/>
                <w:color w:val="000000"/>
                <w:kern w:val="0"/>
                <w:szCs w:val="21"/>
              </w:rPr>
            </w:pPr>
            <w:r>
              <w:rPr>
                <w:rFonts w:eastAsia="仿宋_GB2312"/>
                <w:color w:val="000000"/>
                <w:kern w:val="0"/>
                <w:szCs w:val="21"/>
              </w:rPr>
              <w:t>抽查2-4座公厕，建成区公厕未配备洗手液的，每座</w:t>
            </w:r>
            <w:r>
              <w:rPr>
                <w:rFonts w:hint="eastAsia" w:eastAsia="仿宋_GB2312"/>
                <w:color w:val="000000"/>
                <w:kern w:val="0"/>
                <w:szCs w:val="21"/>
              </w:rPr>
              <w:t>扣</w:t>
            </w:r>
            <w:r>
              <w:rPr>
                <w:rFonts w:eastAsia="仿宋_GB2312"/>
                <w:color w:val="000000"/>
                <w:kern w:val="0"/>
                <w:szCs w:val="21"/>
              </w:rPr>
              <w:t>0.5分，未升级改造非接触式洗手设施的，每座扣0.5分，最多扣2分。</w:t>
            </w:r>
          </w:p>
          <w:p>
            <w:pPr>
              <w:widowControl/>
              <w:spacing w:line="300" w:lineRule="exact"/>
              <w:textAlignment w:val="center"/>
              <w:rPr>
                <w:rFonts w:eastAsia="仿宋_GB2312"/>
                <w:color w:val="000000"/>
                <w:kern w:val="0"/>
                <w:szCs w:val="21"/>
              </w:rPr>
            </w:pPr>
            <w:r>
              <w:rPr>
                <w:rFonts w:eastAsia="仿宋_GB2312"/>
                <w:color w:val="000000"/>
                <w:kern w:val="0"/>
                <w:szCs w:val="21"/>
              </w:rPr>
              <w:t>无公厕管理制度，扣0.5分，保洁不到位，扣0.5分，设施设备缺乏维护的，每发现1处，扣0.5分。最多扣2分。</w:t>
            </w:r>
          </w:p>
        </w:tc>
        <w:tc>
          <w:tcPr>
            <w:tcW w:w="1478" w:type="dxa"/>
            <w:noWrap w:val="0"/>
            <w:vAlign w:val="center"/>
          </w:tcPr>
          <w:p>
            <w:pPr>
              <w:widowControl/>
              <w:textAlignment w:val="center"/>
              <w:rPr>
                <w:rFonts w:eastAsia="仿宋_GB2312"/>
                <w:color w:val="000000"/>
                <w:kern w:val="0"/>
                <w:szCs w:val="21"/>
              </w:rPr>
            </w:pPr>
          </w:p>
        </w:tc>
        <w:tc>
          <w:tcPr>
            <w:tcW w:w="984" w:type="dxa"/>
          </w:tcPr>
          <w:p>
            <w:pPr>
              <w:widowControl/>
              <w:textAlignment w:val="center"/>
              <w:rPr>
                <w:rFonts w:eastAsia="仿宋_GB2312"/>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57" w:type="dxa"/>
            <w:bottom w:w="28" w:type="dxa"/>
            <w:right w:w="57" w:type="dxa"/>
          </w:tblCellMar>
        </w:tblPrEx>
        <w:trPr>
          <w:trHeight w:val="454" w:hRule="atLeast"/>
          <w:jc w:val="center"/>
        </w:trPr>
        <w:tc>
          <w:tcPr>
            <w:tcW w:w="1160" w:type="dxa"/>
            <w:vMerge w:val="continue"/>
            <w:noWrap w:val="0"/>
            <w:vAlign w:val="center"/>
          </w:tcPr>
          <w:p>
            <w:pPr>
              <w:widowControl/>
              <w:textAlignment w:val="center"/>
              <w:rPr>
                <w:rFonts w:hint="eastAsia" w:ascii="黑体" w:hAnsi="黑体" w:eastAsia="黑体" w:cs="黑体"/>
                <w:bCs/>
                <w:color w:val="000000"/>
                <w:szCs w:val="21"/>
              </w:rPr>
            </w:pPr>
          </w:p>
        </w:tc>
        <w:tc>
          <w:tcPr>
            <w:tcW w:w="1250" w:type="dxa"/>
            <w:vMerge w:val="restart"/>
            <w:noWrap w:val="0"/>
            <w:vAlign w:val="center"/>
          </w:tcPr>
          <w:p>
            <w:pPr>
              <w:widowControl/>
              <w:textAlignment w:val="center"/>
              <w:rPr>
                <w:rFonts w:eastAsia="仿宋_GB2312"/>
                <w:b/>
                <w:color w:val="000000"/>
                <w:szCs w:val="21"/>
              </w:rPr>
            </w:pPr>
            <w:r>
              <w:rPr>
                <w:rFonts w:eastAsia="仿宋_GB2312"/>
                <w:color w:val="000000"/>
                <w:kern w:val="0"/>
                <w:szCs w:val="21"/>
              </w:rPr>
              <w:t>15.推进健康细胞与支持性环境建设</w:t>
            </w:r>
          </w:p>
        </w:tc>
        <w:tc>
          <w:tcPr>
            <w:tcW w:w="3299" w:type="dxa"/>
            <w:noWrap w:val="0"/>
            <w:vAlign w:val="center"/>
          </w:tcPr>
          <w:p>
            <w:pPr>
              <w:widowControl/>
              <w:spacing w:line="300" w:lineRule="exact"/>
              <w:textAlignment w:val="center"/>
              <w:rPr>
                <w:rFonts w:eastAsia="仿宋_GB2312"/>
                <w:color w:val="000000"/>
                <w:kern w:val="0"/>
                <w:szCs w:val="21"/>
              </w:rPr>
            </w:pPr>
            <w:r>
              <w:rPr>
                <w:rFonts w:eastAsia="仿宋_GB2312"/>
                <w:color w:val="000000"/>
                <w:kern w:val="0"/>
                <w:szCs w:val="21"/>
              </w:rPr>
              <w:t>推进健康社区（小区）、健康单位、健康家庭、健康促进学校等建设</w:t>
            </w:r>
          </w:p>
        </w:tc>
        <w:tc>
          <w:tcPr>
            <w:tcW w:w="678" w:type="dxa"/>
            <w:noWrap w:val="0"/>
            <w:vAlign w:val="center"/>
          </w:tcPr>
          <w:p>
            <w:pPr>
              <w:widowControl/>
              <w:spacing w:line="300" w:lineRule="exact"/>
              <w:jc w:val="center"/>
              <w:textAlignment w:val="center"/>
              <w:rPr>
                <w:rFonts w:eastAsia="仿宋_GB2312"/>
                <w:bCs/>
                <w:color w:val="000000"/>
                <w:kern w:val="0"/>
                <w:szCs w:val="21"/>
              </w:rPr>
            </w:pPr>
            <w:r>
              <w:rPr>
                <w:rFonts w:eastAsia="仿宋_GB2312"/>
                <w:bCs/>
                <w:color w:val="000000"/>
                <w:kern w:val="0"/>
                <w:szCs w:val="21"/>
              </w:rPr>
              <w:t>2</w:t>
            </w:r>
          </w:p>
        </w:tc>
        <w:tc>
          <w:tcPr>
            <w:tcW w:w="5664" w:type="dxa"/>
            <w:noWrap w:val="0"/>
            <w:vAlign w:val="center"/>
          </w:tcPr>
          <w:p>
            <w:pPr>
              <w:widowControl/>
              <w:spacing w:line="300" w:lineRule="exact"/>
              <w:textAlignment w:val="center"/>
              <w:rPr>
                <w:rFonts w:eastAsia="仿宋_GB2312"/>
                <w:color w:val="000000"/>
                <w:kern w:val="0"/>
                <w:szCs w:val="21"/>
              </w:rPr>
            </w:pPr>
            <w:r>
              <w:rPr>
                <w:rFonts w:eastAsia="仿宋_GB2312"/>
                <w:color w:val="000000"/>
                <w:kern w:val="0"/>
                <w:szCs w:val="21"/>
              </w:rPr>
              <w:t>抽查健康社区（小区）、健康单位、健康家庭、健康促进学校等“健康细胞”2家，每发现1个问题，扣0.2分，扣完为止。</w:t>
            </w:r>
          </w:p>
        </w:tc>
        <w:tc>
          <w:tcPr>
            <w:tcW w:w="1478" w:type="dxa"/>
            <w:noWrap w:val="0"/>
            <w:vAlign w:val="center"/>
          </w:tcPr>
          <w:p>
            <w:pPr>
              <w:widowControl/>
              <w:textAlignment w:val="center"/>
              <w:rPr>
                <w:rFonts w:eastAsia="仿宋_GB2312"/>
                <w:color w:val="000000"/>
                <w:kern w:val="0"/>
                <w:szCs w:val="21"/>
              </w:rPr>
            </w:pPr>
          </w:p>
        </w:tc>
        <w:tc>
          <w:tcPr>
            <w:tcW w:w="984" w:type="dxa"/>
          </w:tcPr>
          <w:p>
            <w:pPr>
              <w:widowControl/>
              <w:textAlignment w:val="center"/>
              <w:rPr>
                <w:rFonts w:eastAsia="仿宋_GB2312"/>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57" w:type="dxa"/>
            <w:bottom w:w="28" w:type="dxa"/>
            <w:right w:w="57" w:type="dxa"/>
          </w:tblCellMar>
        </w:tblPrEx>
        <w:trPr>
          <w:trHeight w:val="454" w:hRule="atLeast"/>
          <w:jc w:val="center"/>
        </w:trPr>
        <w:tc>
          <w:tcPr>
            <w:tcW w:w="1160" w:type="dxa"/>
            <w:vMerge w:val="continue"/>
            <w:noWrap w:val="0"/>
            <w:vAlign w:val="center"/>
          </w:tcPr>
          <w:p>
            <w:pPr>
              <w:widowControl/>
              <w:textAlignment w:val="center"/>
              <w:rPr>
                <w:rFonts w:hint="eastAsia" w:ascii="黑体" w:hAnsi="黑体" w:eastAsia="黑体" w:cs="黑体"/>
                <w:bCs/>
                <w:color w:val="000000"/>
                <w:szCs w:val="21"/>
              </w:rPr>
            </w:pPr>
          </w:p>
        </w:tc>
        <w:tc>
          <w:tcPr>
            <w:tcW w:w="1250" w:type="dxa"/>
            <w:vMerge w:val="continue"/>
            <w:noWrap w:val="0"/>
            <w:vAlign w:val="center"/>
          </w:tcPr>
          <w:p>
            <w:pPr>
              <w:widowControl/>
              <w:textAlignment w:val="center"/>
              <w:rPr>
                <w:rFonts w:eastAsia="仿宋_GB2312"/>
                <w:b/>
                <w:color w:val="000000"/>
                <w:szCs w:val="21"/>
              </w:rPr>
            </w:pPr>
          </w:p>
        </w:tc>
        <w:tc>
          <w:tcPr>
            <w:tcW w:w="3299" w:type="dxa"/>
            <w:noWrap w:val="0"/>
            <w:vAlign w:val="center"/>
          </w:tcPr>
          <w:p>
            <w:pPr>
              <w:widowControl/>
              <w:spacing w:line="300" w:lineRule="exact"/>
              <w:textAlignment w:val="center"/>
              <w:rPr>
                <w:rFonts w:eastAsia="仿宋_GB2312"/>
                <w:color w:val="000000"/>
                <w:kern w:val="0"/>
                <w:szCs w:val="21"/>
              </w:rPr>
            </w:pPr>
            <w:r>
              <w:rPr>
                <w:rFonts w:eastAsia="仿宋_GB2312"/>
                <w:color w:val="000000"/>
                <w:kern w:val="0"/>
                <w:szCs w:val="21"/>
              </w:rPr>
              <w:t>健康促进学校在中小学校覆盖率不低于60%</w:t>
            </w:r>
          </w:p>
        </w:tc>
        <w:tc>
          <w:tcPr>
            <w:tcW w:w="678" w:type="dxa"/>
            <w:noWrap w:val="0"/>
            <w:vAlign w:val="center"/>
          </w:tcPr>
          <w:p>
            <w:pPr>
              <w:widowControl/>
              <w:spacing w:line="300" w:lineRule="exact"/>
              <w:jc w:val="center"/>
              <w:textAlignment w:val="center"/>
              <w:rPr>
                <w:rFonts w:eastAsia="仿宋_GB2312"/>
                <w:bCs/>
                <w:color w:val="000000"/>
                <w:kern w:val="0"/>
                <w:szCs w:val="21"/>
              </w:rPr>
            </w:pPr>
            <w:r>
              <w:rPr>
                <w:rFonts w:eastAsia="仿宋_GB2312"/>
                <w:bCs/>
                <w:color w:val="000000"/>
                <w:kern w:val="0"/>
                <w:szCs w:val="21"/>
              </w:rPr>
              <w:t>2</w:t>
            </w:r>
          </w:p>
        </w:tc>
        <w:tc>
          <w:tcPr>
            <w:tcW w:w="5664" w:type="dxa"/>
            <w:noWrap w:val="0"/>
            <w:vAlign w:val="center"/>
          </w:tcPr>
          <w:p>
            <w:pPr>
              <w:widowControl/>
              <w:spacing w:line="300" w:lineRule="exact"/>
              <w:textAlignment w:val="center"/>
              <w:rPr>
                <w:rFonts w:eastAsia="仿宋_GB2312"/>
                <w:color w:val="000000"/>
                <w:kern w:val="0"/>
                <w:szCs w:val="21"/>
              </w:rPr>
            </w:pPr>
            <w:r>
              <w:rPr>
                <w:rFonts w:eastAsia="仿宋_GB2312"/>
                <w:color w:val="000000"/>
                <w:kern w:val="0"/>
                <w:szCs w:val="21"/>
              </w:rPr>
              <w:t>抽查辖区内中小学校各1所，每发现1个问题，扣0.2分，扣完为止。</w:t>
            </w:r>
          </w:p>
        </w:tc>
        <w:tc>
          <w:tcPr>
            <w:tcW w:w="1478" w:type="dxa"/>
            <w:noWrap w:val="0"/>
            <w:vAlign w:val="center"/>
          </w:tcPr>
          <w:p>
            <w:pPr>
              <w:widowControl/>
              <w:textAlignment w:val="center"/>
              <w:rPr>
                <w:rFonts w:eastAsia="仿宋_GB2312"/>
                <w:color w:val="000000"/>
                <w:kern w:val="0"/>
                <w:szCs w:val="21"/>
              </w:rPr>
            </w:pPr>
          </w:p>
        </w:tc>
        <w:tc>
          <w:tcPr>
            <w:tcW w:w="984" w:type="dxa"/>
          </w:tcPr>
          <w:p>
            <w:pPr>
              <w:widowControl/>
              <w:textAlignment w:val="center"/>
              <w:rPr>
                <w:rFonts w:eastAsia="仿宋_GB2312"/>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57" w:type="dxa"/>
            <w:bottom w:w="28" w:type="dxa"/>
            <w:right w:w="57" w:type="dxa"/>
          </w:tblCellMar>
        </w:tblPrEx>
        <w:trPr>
          <w:trHeight w:val="454" w:hRule="atLeast"/>
          <w:jc w:val="center"/>
        </w:trPr>
        <w:tc>
          <w:tcPr>
            <w:tcW w:w="1160" w:type="dxa"/>
            <w:vMerge w:val="continue"/>
            <w:noWrap w:val="0"/>
            <w:vAlign w:val="center"/>
          </w:tcPr>
          <w:p>
            <w:pPr>
              <w:widowControl/>
              <w:textAlignment w:val="center"/>
              <w:rPr>
                <w:rFonts w:hint="eastAsia" w:ascii="黑体" w:hAnsi="黑体" w:eastAsia="黑体" w:cs="黑体"/>
                <w:bCs/>
                <w:color w:val="000000"/>
                <w:szCs w:val="21"/>
              </w:rPr>
            </w:pPr>
          </w:p>
        </w:tc>
        <w:tc>
          <w:tcPr>
            <w:tcW w:w="1250" w:type="dxa"/>
            <w:vMerge w:val="continue"/>
            <w:noWrap w:val="0"/>
            <w:vAlign w:val="center"/>
          </w:tcPr>
          <w:p>
            <w:pPr>
              <w:widowControl/>
              <w:textAlignment w:val="center"/>
              <w:rPr>
                <w:rFonts w:eastAsia="仿宋_GB2312"/>
                <w:b/>
                <w:color w:val="000000"/>
                <w:szCs w:val="21"/>
              </w:rPr>
            </w:pPr>
          </w:p>
        </w:tc>
        <w:tc>
          <w:tcPr>
            <w:tcW w:w="3299" w:type="dxa"/>
            <w:noWrap w:val="0"/>
            <w:vAlign w:val="center"/>
          </w:tcPr>
          <w:p>
            <w:pPr>
              <w:widowControl/>
              <w:spacing w:line="300" w:lineRule="exact"/>
              <w:textAlignment w:val="center"/>
              <w:rPr>
                <w:rFonts w:eastAsia="仿宋_GB2312"/>
                <w:color w:val="000000"/>
                <w:kern w:val="0"/>
                <w:szCs w:val="21"/>
              </w:rPr>
            </w:pPr>
            <w:r>
              <w:rPr>
                <w:rFonts w:eastAsia="仿宋_GB2312"/>
                <w:color w:val="000000"/>
                <w:kern w:val="0"/>
                <w:szCs w:val="21"/>
              </w:rPr>
              <w:t>健康社区（小区）建设比例达到70%</w:t>
            </w:r>
          </w:p>
        </w:tc>
        <w:tc>
          <w:tcPr>
            <w:tcW w:w="678" w:type="dxa"/>
            <w:noWrap w:val="0"/>
            <w:vAlign w:val="center"/>
          </w:tcPr>
          <w:p>
            <w:pPr>
              <w:widowControl/>
              <w:spacing w:line="300" w:lineRule="exact"/>
              <w:jc w:val="center"/>
              <w:textAlignment w:val="center"/>
              <w:rPr>
                <w:rFonts w:eastAsia="仿宋_GB2312"/>
                <w:bCs/>
                <w:color w:val="000000"/>
                <w:kern w:val="0"/>
                <w:szCs w:val="21"/>
              </w:rPr>
            </w:pPr>
            <w:r>
              <w:rPr>
                <w:rFonts w:eastAsia="仿宋_GB2312"/>
                <w:bCs/>
                <w:color w:val="000000"/>
                <w:kern w:val="0"/>
                <w:szCs w:val="21"/>
              </w:rPr>
              <w:t>2</w:t>
            </w:r>
          </w:p>
        </w:tc>
        <w:tc>
          <w:tcPr>
            <w:tcW w:w="5664" w:type="dxa"/>
            <w:noWrap w:val="0"/>
            <w:vAlign w:val="center"/>
          </w:tcPr>
          <w:p>
            <w:pPr>
              <w:widowControl/>
              <w:spacing w:line="300" w:lineRule="exact"/>
              <w:textAlignment w:val="center"/>
              <w:rPr>
                <w:rFonts w:eastAsia="仿宋_GB2312"/>
                <w:color w:val="000000"/>
                <w:kern w:val="0"/>
                <w:szCs w:val="21"/>
              </w:rPr>
            </w:pPr>
            <w:r>
              <w:rPr>
                <w:rFonts w:eastAsia="仿宋_GB2312"/>
                <w:color w:val="000000"/>
                <w:kern w:val="0"/>
                <w:szCs w:val="21"/>
              </w:rPr>
              <w:t>辖区内的村或居委会（小区）按照《全民健康生活方式行动健康支持性环境建设指导方案》要求，规范开展健康社区建设。未达要求，每低1个百分点扣0.5分，扣完为止。</w:t>
            </w:r>
          </w:p>
        </w:tc>
        <w:tc>
          <w:tcPr>
            <w:tcW w:w="1478" w:type="dxa"/>
            <w:noWrap w:val="0"/>
            <w:vAlign w:val="center"/>
          </w:tcPr>
          <w:p>
            <w:pPr>
              <w:widowControl/>
              <w:textAlignment w:val="center"/>
              <w:rPr>
                <w:rFonts w:eastAsia="仿宋_GB2312"/>
                <w:color w:val="000000"/>
                <w:kern w:val="0"/>
                <w:szCs w:val="21"/>
              </w:rPr>
            </w:pPr>
          </w:p>
        </w:tc>
        <w:tc>
          <w:tcPr>
            <w:tcW w:w="984" w:type="dxa"/>
          </w:tcPr>
          <w:p>
            <w:pPr>
              <w:widowControl/>
              <w:textAlignment w:val="center"/>
              <w:rPr>
                <w:rFonts w:eastAsia="仿宋_GB2312"/>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57" w:type="dxa"/>
            <w:bottom w:w="28" w:type="dxa"/>
            <w:right w:w="57" w:type="dxa"/>
          </w:tblCellMar>
        </w:tblPrEx>
        <w:trPr>
          <w:trHeight w:val="454" w:hRule="atLeast"/>
          <w:jc w:val="center"/>
        </w:trPr>
        <w:tc>
          <w:tcPr>
            <w:tcW w:w="1160" w:type="dxa"/>
            <w:vMerge w:val="continue"/>
            <w:noWrap w:val="0"/>
            <w:vAlign w:val="center"/>
          </w:tcPr>
          <w:p>
            <w:pPr>
              <w:widowControl/>
              <w:textAlignment w:val="center"/>
              <w:rPr>
                <w:rFonts w:hint="eastAsia" w:ascii="黑体" w:hAnsi="黑体" w:eastAsia="黑体" w:cs="黑体"/>
                <w:bCs/>
                <w:color w:val="000000"/>
                <w:szCs w:val="21"/>
              </w:rPr>
            </w:pPr>
          </w:p>
        </w:tc>
        <w:tc>
          <w:tcPr>
            <w:tcW w:w="1250" w:type="dxa"/>
            <w:vMerge w:val="continue"/>
            <w:noWrap w:val="0"/>
            <w:vAlign w:val="center"/>
          </w:tcPr>
          <w:p>
            <w:pPr>
              <w:widowControl/>
              <w:textAlignment w:val="center"/>
              <w:rPr>
                <w:rFonts w:eastAsia="仿宋_GB2312"/>
                <w:b/>
                <w:color w:val="000000"/>
                <w:szCs w:val="21"/>
              </w:rPr>
            </w:pPr>
          </w:p>
        </w:tc>
        <w:tc>
          <w:tcPr>
            <w:tcW w:w="3299" w:type="dxa"/>
            <w:noWrap w:val="0"/>
            <w:vAlign w:val="center"/>
          </w:tcPr>
          <w:p>
            <w:pPr>
              <w:widowControl/>
              <w:spacing w:line="300" w:lineRule="exact"/>
              <w:textAlignment w:val="center"/>
              <w:rPr>
                <w:rFonts w:eastAsia="仿宋_GB2312"/>
                <w:color w:val="000000"/>
                <w:kern w:val="0"/>
                <w:szCs w:val="21"/>
              </w:rPr>
            </w:pPr>
            <w:r>
              <w:rPr>
                <w:rFonts w:eastAsia="仿宋_GB2312"/>
                <w:color w:val="000000"/>
                <w:kern w:val="0"/>
                <w:szCs w:val="21"/>
              </w:rPr>
              <w:t>至少建成1处健康主题公园、健康步道、健康小屋（体验馆）等健康支持性环境</w:t>
            </w:r>
          </w:p>
        </w:tc>
        <w:tc>
          <w:tcPr>
            <w:tcW w:w="678" w:type="dxa"/>
            <w:noWrap w:val="0"/>
            <w:vAlign w:val="center"/>
          </w:tcPr>
          <w:p>
            <w:pPr>
              <w:widowControl/>
              <w:spacing w:line="300" w:lineRule="exact"/>
              <w:jc w:val="center"/>
              <w:textAlignment w:val="center"/>
              <w:rPr>
                <w:rFonts w:eastAsia="仿宋_GB2312"/>
                <w:bCs/>
                <w:color w:val="000000"/>
                <w:kern w:val="0"/>
                <w:szCs w:val="21"/>
              </w:rPr>
            </w:pPr>
            <w:r>
              <w:rPr>
                <w:rFonts w:eastAsia="仿宋_GB2312"/>
                <w:bCs/>
                <w:color w:val="000000"/>
                <w:kern w:val="0"/>
                <w:szCs w:val="21"/>
              </w:rPr>
              <w:t>2</w:t>
            </w:r>
          </w:p>
        </w:tc>
        <w:tc>
          <w:tcPr>
            <w:tcW w:w="5664" w:type="dxa"/>
            <w:noWrap w:val="0"/>
            <w:vAlign w:val="center"/>
          </w:tcPr>
          <w:p>
            <w:pPr>
              <w:widowControl/>
              <w:spacing w:line="300" w:lineRule="exact"/>
              <w:textAlignment w:val="center"/>
              <w:rPr>
                <w:rFonts w:eastAsia="仿宋_GB2312"/>
                <w:color w:val="000000"/>
                <w:kern w:val="0"/>
                <w:szCs w:val="21"/>
              </w:rPr>
            </w:pPr>
            <w:r>
              <w:rPr>
                <w:rFonts w:eastAsia="仿宋_GB2312"/>
                <w:color w:val="000000"/>
                <w:kern w:val="0"/>
                <w:szCs w:val="21"/>
              </w:rPr>
              <w:t>检查健康支持性环境1处，规范的得2分；建成后维护管理</w:t>
            </w:r>
            <w:r>
              <w:rPr>
                <w:rFonts w:eastAsia="仿宋_GB2312"/>
                <w:color w:val="000000"/>
                <w:spacing w:val="-6"/>
                <w:kern w:val="0"/>
                <w:szCs w:val="21"/>
              </w:rPr>
              <w:t>不到位的，扣0.5分；未开展相关健康支持性环境建设，不得分。</w:t>
            </w:r>
          </w:p>
        </w:tc>
        <w:tc>
          <w:tcPr>
            <w:tcW w:w="1478" w:type="dxa"/>
            <w:noWrap w:val="0"/>
            <w:vAlign w:val="center"/>
          </w:tcPr>
          <w:p>
            <w:pPr>
              <w:widowControl/>
              <w:textAlignment w:val="center"/>
              <w:rPr>
                <w:rFonts w:eastAsia="仿宋_GB2312"/>
                <w:color w:val="000000"/>
                <w:kern w:val="0"/>
                <w:szCs w:val="21"/>
              </w:rPr>
            </w:pPr>
          </w:p>
        </w:tc>
        <w:tc>
          <w:tcPr>
            <w:tcW w:w="984" w:type="dxa"/>
          </w:tcPr>
          <w:p>
            <w:pPr>
              <w:widowControl/>
              <w:textAlignment w:val="center"/>
              <w:rPr>
                <w:rFonts w:eastAsia="仿宋_GB2312"/>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57" w:type="dxa"/>
            <w:bottom w:w="28" w:type="dxa"/>
            <w:right w:w="57" w:type="dxa"/>
          </w:tblCellMar>
        </w:tblPrEx>
        <w:trPr>
          <w:trHeight w:val="454" w:hRule="atLeast"/>
          <w:jc w:val="center"/>
        </w:trPr>
        <w:tc>
          <w:tcPr>
            <w:tcW w:w="1160" w:type="dxa"/>
            <w:vMerge w:val="restart"/>
            <w:noWrap w:val="0"/>
            <w:vAlign w:val="center"/>
          </w:tcPr>
          <w:p>
            <w:pPr>
              <w:numPr>
                <w:ilvl w:val="0"/>
                <w:numId w:val="1"/>
              </w:numPr>
              <w:jc w:val="left"/>
              <w:rPr>
                <w:rFonts w:hint="eastAsia" w:ascii="黑体" w:hAnsi="黑体" w:eastAsia="黑体" w:cs="黑体"/>
                <w:bCs/>
                <w:color w:val="000000"/>
                <w:kern w:val="0"/>
                <w:szCs w:val="21"/>
              </w:rPr>
            </w:pPr>
            <w:r>
              <w:rPr>
                <w:rFonts w:hint="eastAsia" w:ascii="黑体" w:hAnsi="黑体" w:eastAsia="黑体" w:cs="黑体"/>
                <w:bCs/>
                <w:color w:val="000000"/>
                <w:kern w:val="0"/>
                <w:szCs w:val="21"/>
              </w:rPr>
              <w:t>推进健康治理</w:t>
            </w:r>
          </w:p>
          <w:p>
            <w:pPr>
              <w:widowControl/>
              <w:jc w:val="left"/>
              <w:textAlignment w:val="center"/>
              <w:rPr>
                <w:rFonts w:hint="eastAsia" w:ascii="黑体" w:hAnsi="黑体" w:eastAsia="黑体" w:cs="黑体"/>
                <w:bCs/>
                <w:color w:val="000000"/>
                <w:szCs w:val="21"/>
              </w:rPr>
            </w:pPr>
            <w:r>
              <w:rPr>
                <w:rFonts w:hint="eastAsia" w:ascii="黑体" w:hAnsi="黑体" w:eastAsia="黑体" w:cs="黑体"/>
                <w:bCs/>
                <w:color w:val="000000"/>
                <w:kern w:val="0"/>
                <w:szCs w:val="21"/>
              </w:rPr>
              <w:t>（18分）</w:t>
            </w:r>
          </w:p>
        </w:tc>
        <w:tc>
          <w:tcPr>
            <w:tcW w:w="1250" w:type="dxa"/>
            <w:vMerge w:val="restart"/>
            <w:noWrap w:val="0"/>
            <w:vAlign w:val="center"/>
          </w:tcPr>
          <w:p>
            <w:pPr>
              <w:widowControl/>
              <w:jc w:val="left"/>
              <w:textAlignment w:val="center"/>
              <w:rPr>
                <w:rFonts w:eastAsia="仿宋_GB2312"/>
                <w:b/>
                <w:color w:val="000000"/>
                <w:szCs w:val="21"/>
              </w:rPr>
            </w:pPr>
            <w:r>
              <w:rPr>
                <w:rFonts w:eastAsia="仿宋_GB2312"/>
                <w:color w:val="000000"/>
                <w:kern w:val="0"/>
                <w:szCs w:val="21"/>
              </w:rPr>
              <w:t>16.完善健康政策</w:t>
            </w:r>
          </w:p>
        </w:tc>
        <w:tc>
          <w:tcPr>
            <w:tcW w:w="3299" w:type="dxa"/>
            <w:noWrap w:val="0"/>
            <w:vAlign w:val="center"/>
          </w:tcPr>
          <w:p>
            <w:pPr>
              <w:widowControl/>
              <w:spacing w:line="300" w:lineRule="exact"/>
              <w:textAlignment w:val="center"/>
              <w:rPr>
                <w:rFonts w:eastAsia="仿宋_GB2312"/>
                <w:color w:val="000000"/>
                <w:kern w:val="0"/>
                <w:szCs w:val="21"/>
              </w:rPr>
            </w:pPr>
            <w:r>
              <w:rPr>
                <w:rFonts w:eastAsia="仿宋_GB2312"/>
                <w:color w:val="000000"/>
                <w:kern w:val="0"/>
                <w:szCs w:val="21"/>
              </w:rPr>
              <w:t>贯彻“将健康融入所有政策”，将健康乡镇建设纳入经济社会发展规划和政府重要议事日程，实行目标责任制考核</w:t>
            </w:r>
          </w:p>
        </w:tc>
        <w:tc>
          <w:tcPr>
            <w:tcW w:w="678" w:type="dxa"/>
            <w:noWrap w:val="0"/>
            <w:vAlign w:val="center"/>
          </w:tcPr>
          <w:p>
            <w:pPr>
              <w:widowControl/>
              <w:spacing w:line="300" w:lineRule="exact"/>
              <w:jc w:val="center"/>
              <w:textAlignment w:val="center"/>
              <w:rPr>
                <w:rFonts w:eastAsia="仿宋_GB2312"/>
                <w:bCs/>
                <w:color w:val="000000"/>
                <w:kern w:val="0"/>
                <w:szCs w:val="21"/>
              </w:rPr>
            </w:pPr>
            <w:r>
              <w:rPr>
                <w:rFonts w:eastAsia="仿宋_GB2312"/>
                <w:bCs/>
                <w:color w:val="000000"/>
                <w:kern w:val="0"/>
                <w:szCs w:val="21"/>
              </w:rPr>
              <w:t>2</w:t>
            </w:r>
          </w:p>
        </w:tc>
        <w:tc>
          <w:tcPr>
            <w:tcW w:w="5664" w:type="dxa"/>
            <w:noWrap w:val="0"/>
            <w:vAlign w:val="center"/>
          </w:tcPr>
          <w:p>
            <w:pPr>
              <w:widowControl/>
              <w:spacing w:line="300" w:lineRule="exact"/>
              <w:textAlignment w:val="center"/>
              <w:rPr>
                <w:rFonts w:eastAsia="仿宋_GB2312"/>
                <w:color w:val="000000"/>
                <w:kern w:val="0"/>
                <w:szCs w:val="21"/>
              </w:rPr>
            </w:pPr>
            <w:r>
              <w:rPr>
                <w:rFonts w:eastAsia="仿宋_GB2312"/>
                <w:color w:val="000000"/>
                <w:kern w:val="0"/>
                <w:szCs w:val="21"/>
              </w:rPr>
              <w:t>未将健康乡镇建设纳入经济社会发展规划和政府重要议事日程，扣1分。</w:t>
            </w:r>
          </w:p>
          <w:p>
            <w:pPr>
              <w:widowControl/>
              <w:spacing w:line="300" w:lineRule="exact"/>
              <w:textAlignment w:val="center"/>
              <w:rPr>
                <w:rFonts w:eastAsia="仿宋_GB2312"/>
                <w:color w:val="000000"/>
                <w:kern w:val="0"/>
                <w:szCs w:val="21"/>
              </w:rPr>
            </w:pPr>
            <w:r>
              <w:rPr>
                <w:rFonts w:eastAsia="仿宋_GB2312"/>
                <w:color w:val="000000"/>
                <w:kern w:val="0"/>
                <w:szCs w:val="21"/>
              </w:rPr>
              <w:t>未实行考核，扣1分。</w:t>
            </w:r>
          </w:p>
        </w:tc>
        <w:tc>
          <w:tcPr>
            <w:tcW w:w="1478" w:type="dxa"/>
            <w:noWrap w:val="0"/>
            <w:vAlign w:val="center"/>
          </w:tcPr>
          <w:p>
            <w:pPr>
              <w:widowControl/>
              <w:textAlignment w:val="center"/>
              <w:rPr>
                <w:rFonts w:eastAsia="仿宋_GB2312"/>
                <w:color w:val="000000"/>
                <w:kern w:val="0"/>
                <w:szCs w:val="21"/>
              </w:rPr>
            </w:pPr>
          </w:p>
        </w:tc>
        <w:tc>
          <w:tcPr>
            <w:tcW w:w="984" w:type="dxa"/>
          </w:tcPr>
          <w:p>
            <w:pPr>
              <w:widowControl/>
              <w:textAlignment w:val="center"/>
              <w:rPr>
                <w:rFonts w:eastAsia="仿宋_GB2312"/>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57" w:type="dxa"/>
            <w:bottom w:w="28" w:type="dxa"/>
            <w:right w:w="57" w:type="dxa"/>
          </w:tblCellMar>
        </w:tblPrEx>
        <w:trPr>
          <w:trHeight w:val="454" w:hRule="atLeast"/>
          <w:jc w:val="center"/>
        </w:trPr>
        <w:tc>
          <w:tcPr>
            <w:tcW w:w="1160" w:type="dxa"/>
            <w:vMerge w:val="continue"/>
            <w:noWrap w:val="0"/>
            <w:vAlign w:val="center"/>
          </w:tcPr>
          <w:p>
            <w:pPr>
              <w:widowControl/>
              <w:textAlignment w:val="center"/>
              <w:rPr>
                <w:rFonts w:hint="eastAsia" w:ascii="黑体" w:hAnsi="黑体" w:eastAsia="黑体" w:cs="黑体"/>
                <w:bCs/>
                <w:color w:val="000000"/>
                <w:szCs w:val="21"/>
              </w:rPr>
            </w:pPr>
          </w:p>
        </w:tc>
        <w:tc>
          <w:tcPr>
            <w:tcW w:w="1250" w:type="dxa"/>
            <w:vMerge w:val="continue"/>
            <w:noWrap w:val="0"/>
            <w:vAlign w:val="center"/>
          </w:tcPr>
          <w:p>
            <w:pPr>
              <w:widowControl/>
              <w:textAlignment w:val="center"/>
              <w:rPr>
                <w:rFonts w:eastAsia="仿宋_GB2312"/>
                <w:color w:val="000000"/>
                <w:kern w:val="0"/>
                <w:szCs w:val="21"/>
              </w:rPr>
            </w:pPr>
          </w:p>
        </w:tc>
        <w:tc>
          <w:tcPr>
            <w:tcW w:w="3299" w:type="dxa"/>
            <w:noWrap w:val="0"/>
            <w:vAlign w:val="center"/>
          </w:tcPr>
          <w:p>
            <w:pPr>
              <w:widowControl/>
              <w:textAlignment w:val="center"/>
              <w:rPr>
                <w:rFonts w:eastAsia="仿宋_GB2312"/>
                <w:color w:val="000000"/>
                <w:kern w:val="0"/>
                <w:szCs w:val="21"/>
              </w:rPr>
            </w:pPr>
            <w:r>
              <w:rPr>
                <w:rFonts w:eastAsia="仿宋_GB2312"/>
                <w:color w:val="000000"/>
                <w:kern w:val="0"/>
                <w:szCs w:val="21"/>
              </w:rPr>
              <w:t>健康政策纳入机关干部培训内容</w:t>
            </w:r>
          </w:p>
        </w:tc>
        <w:tc>
          <w:tcPr>
            <w:tcW w:w="678" w:type="dxa"/>
            <w:noWrap w:val="0"/>
            <w:vAlign w:val="center"/>
          </w:tcPr>
          <w:p>
            <w:pPr>
              <w:widowControl/>
              <w:jc w:val="center"/>
              <w:textAlignment w:val="center"/>
              <w:rPr>
                <w:rFonts w:eastAsia="仿宋_GB2312"/>
                <w:bCs/>
                <w:color w:val="000000"/>
                <w:kern w:val="0"/>
                <w:szCs w:val="21"/>
              </w:rPr>
            </w:pPr>
            <w:r>
              <w:rPr>
                <w:rFonts w:eastAsia="仿宋_GB2312"/>
                <w:bCs/>
                <w:color w:val="000000"/>
                <w:kern w:val="0"/>
                <w:szCs w:val="21"/>
              </w:rPr>
              <w:t>2</w:t>
            </w:r>
          </w:p>
        </w:tc>
        <w:tc>
          <w:tcPr>
            <w:tcW w:w="5664" w:type="dxa"/>
            <w:noWrap w:val="0"/>
            <w:vAlign w:val="center"/>
          </w:tcPr>
          <w:p>
            <w:pPr>
              <w:widowControl/>
              <w:textAlignment w:val="center"/>
              <w:rPr>
                <w:rFonts w:eastAsia="仿宋_GB2312"/>
                <w:color w:val="000000"/>
                <w:kern w:val="0"/>
                <w:szCs w:val="21"/>
              </w:rPr>
            </w:pPr>
            <w:r>
              <w:rPr>
                <w:rFonts w:eastAsia="仿宋_GB2312"/>
                <w:color w:val="000000"/>
                <w:kern w:val="0"/>
                <w:szCs w:val="21"/>
              </w:rPr>
              <w:t>每年至少组织镇机关干部开展1次健康政策培训，有培训相关记录。发现培训对象、内容、效果等方面存在问题的，每1个问题扣0.5分；未开展培训，不得分。</w:t>
            </w:r>
          </w:p>
        </w:tc>
        <w:tc>
          <w:tcPr>
            <w:tcW w:w="1478" w:type="dxa"/>
            <w:noWrap w:val="0"/>
            <w:vAlign w:val="center"/>
          </w:tcPr>
          <w:p>
            <w:pPr>
              <w:widowControl/>
              <w:textAlignment w:val="center"/>
              <w:rPr>
                <w:rFonts w:eastAsia="仿宋_GB2312"/>
                <w:color w:val="000000"/>
                <w:kern w:val="0"/>
                <w:szCs w:val="21"/>
              </w:rPr>
            </w:pPr>
          </w:p>
        </w:tc>
        <w:tc>
          <w:tcPr>
            <w:tcW w:w="984" w:type="dxa"/>
          </w:tcPr>
          <w:p>
            <w:pPr>
              <w:widowControl/>
              <w:textAlignment w:val="center"/>
              <w:rPr>
                <w:rFonts w:eastAsia="仿宋_GB2312"/>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57" w:type="dxa"/>
            <w:bottom w:w="28" w:type="dxa"/>
            <w:right w:w="57" w:type="dxa"/>
          </w:tblCellMar>
        </w:tblPrEx>
        <w:trPr>
          <w:trHeight w:val="454" w:hRule="atLeast"/>
          <w:jc w:val="center"/>
        </w:trPr>
        <w:tc>
          <w:tcPr>
            <w:tcW w:w="1160" w:type="dxa"/>
            <w:vMerge w:val="continue"/>
            <w:noWrap w:val="0"/>
            <w:vAlign w:val="center"/>
          </w:tcPr>
          <w:p>
            <w:pPr>
              <w:widowControl/>
              <w:textAlignment w:val="center"/>
              <w:rPr>
                <w:rFonts w:hint="eastAsia" w:ascii="黑体" w:hAnsi="黑体" w:eastAsia="黑体" w:cs="黑体"/>
                <w:bCs/>
                <w:color w:val="000000"/>
                <w:szCs w:val="21"/>
              </w:rPr>
            </w:pPr>
          </w:p>
        </w:tc>
        <w:tc>
          <w:tcPr>
            <w:tcW w:w="1250" w:type="dxa"/>
            <w:vMerge w:val="restart"/>
            <w:noWrap w:val="0"/>
            <w:vAlign w:val="center"/>
          </w:tcPr>
          <w:p>
            <w:pPr>
              <w:widowControl/>
              <w:textAlignment w:val="center"/>
              <w:rPr>
                <w:rFonts w:eastAsia="仿宋_GB2312"/>
                <w:color w:val="000000"/>
                <w:kern w:val="0"/>
                <w:szCs w:val="21"/>
              </w:rPr>
            </w:pPr>
            <w:r>
              <w:rPr>
                <w:rFonts w:eastAsia="仿宋_GB2312"/>
                <w:color w:val="000000"/>
                <w:kern w:val="0"/>
                <w:szCs w:val="21"/>
              </w:rPr>
              <w:t>17.健全工作制度</w:t>
            </w:r>
          </w:p>
        </w:tc>
        <w:tc>
          <w:tcPr>
            <w:tcW w:w="3299" w:type="dxa"/>
            <w:noWrap w:val="0"/>
            <w:vAlign w:val="center"/>
          </w:tcPr>
          <w:p>
            <w:pPr>
              <w:rPr>
                <w:rFonts w:eastAsia="仿宋_GB2312"/>
                <w:color w:val="000000"/>
                <w:kern w:val="0"/>
                <w:szCs w:val="21"/>
              </w:rPr>
            </w:pPr>
            <w:r>
              <w:rPr>
                <w:rFonts w:eastAsia="仿宋_GB2312"/>
                <w:color w:val="000000"/>
                <w:kern w:val="0"/>
                <w:szCs w:val="21"/>
              </w:rPr>
              <w:t>坚持“党建引领、政府主导、部门合作、社会参与”，建立由政府、社会、公众共同参与的健康乡镇共建共治共享机制</w:t>
            </w:r>
          </w:p>
        </w:tc>
        <w:tc>
          <w:tcPr>
            <w:tcW w:w="678" w:type="dxa"/>
            <w:noWrap w:val="0"/>
            <w:vAlign w:val="center"/>
          </w:tcPr>
          <w:p>
            <w:pPr>
              <w:jc w:val="center"/>
              <w:rPr>
                <w:rFonts w:eastAsia="仿宋_GB2312"/>
                <w:bCs/>
                <w:color w:val="000000"/>
                <w:kern w:val="0"/>
                <w:szCs w:val="21"/>
              </w:rPr>
            </w:pPr>
            <w:r>
              <w:rPr>
                <w:rFonts w:eastAsia="仿宋_GB2312"/>
                <w:bCs/>
                <w:color w:val="000000"/>
                <w:kern w:val="0"/>
                <w:szCs w:val="21"/>
              </w:rPr>
              <w:t>3</w:t>
            </w:r>
          </w:p>
        </w:tc>
        <w:tc>
          <w:tcPr>
            <w:tcW w:w="5664" w:type="dxa"/>
            <w:noWrap w:val="0"/>
            <w:vAlign w:val="center"/>
          </w:tcPr>
          <w:p>
            <w:pPr>
              <w:widowControl/>
              <w:textAlignment w:val="center"/>
              <w:rPr>
                <w:rFonts w:eastAsia="仿宋_GB2312"/>
                <w:color w:val="000000"/>
                <w:kern w:val="0"/>
                <w:szCs w:val="21"/>
              </w:rPr>
            </w:pPr>
            <w:r>
              <w:rPr>
                <w:rFonts w:eastAsia="仿宋_GB2312"/>
                <w:color w:val="000000"/>
                <w:kern w:val="0"/>
                <w:szCs w:val="21"/>
              </w:rPr>
              <w:t>现场检查中发现每1项未按要求完成，扣0.5分。</w:t>
            </w:r>
          </w:p>
        </w:tc>
        <w:tc>
          <w:tcPr>
            <w:tcW w:w="1478" w:type="dxa"/>
            <w:noWrap w:val="0"/>
            <w:vAlign w:val="center"/>
          </w:tcPr>
          <w:p>
            <w:pPr>
              <w:widowControl/>
              <w:textAlignment w:val="center"/>
              <w:rPr>
                <w:rFonts w:eastAsia="仿宋_GB2312"/>
                <w:color w:val="000000"/>
                <w:kern w:val="0"/>
                <w:szCs w:val="21"/>
              </w:rPr>
            </w:pPr>
          </w:p>
        </w:tc>
        <w:tc>
          <w:tcPr>
            <w:tcW w:w="984" w:type="dxa"/>
          </w:tcPr>
          <w:p>
            <w:pPr>
              <w:widowControl/>
              <w:textAlignment w:val="center"/>
              <w:rPr>
                <w:rFonts w:eastAsia="仿宋_GB2312"/>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57" w:type="dxa"/>
            <w:bottom w:w="28" w:type="dxa"/>
            <w:right w:w="57" w:type="dxa"/>
          </w:tblCellMar>
        </w:tblPrEx>
        <w:trPr>
          <w:trHeight w:val="454" w:hRule="atLeast"/>
          <w:jc w:val="center"/>
        </w:trPr>
        <w:tc>
          <w:tcPr>
            <w:tcW w:w="1160" w:type="dxa"/>
            <w:vMerge w:val="continue"/>
            <w:noWrap w:val="0"/>
            <w:vAlign w:val="center"/>
          </w:tcPr>
          <w:p>
            <w:pPr>
              <w:widowControl/>
              <w:textAlignment w:val="center"/>
              <w:rPr>
                <w:rFonts w:hint="eastAsia" w:ascii="黑体" w:hAnsi="黑体" w:eastAsia="黑体" w:cs="黑体"/>
                <w:bCs/>
                <w:color w:val="000000"/>
                <w:szCs w:val="21"/>
              </w:rPr>
            </w:pPr>
          </w:p>
        </w:tc>
        <w:tc>
          <w:tcPr>
            <w:tcW w:w="1250" w:type="dxa"/>
            <w:vMerge w:val="continue"/>
            <w:noWrap w:val="0"/>
            <w:vAlign w:val="center"/>
          </w:tcPr>
          <w:p>
            <w:pPr>
              <w:widowControl/>
              <w:textAlignment w:val="center"/>
              <w:rPr>
                <w:rFonts w:eastAsia="仿宋_GB2312"/>
                <w:color w:val="000000"/>
                <w:kern w:val="0"/>
                <w:szCs w:val="21"/>
              </w:rPr>
            </w:pPr>
          </w:p>
        </w:tc>
        <w:tc>
          <w:tcPr>
            <w:tcW w:w="3299" w:type="dxa"/>
            <w:noWrap w:val="0"/>
            <w:vAlign w:val="center"/>
          </w:tcPr>
          <w:p>
            <w:pPr>
              <w:rPr>
                <w:rFonts w:eastAsia="仿宋_GB2312"/>
                <w:color w:val="000000"/>
                <w:kern w:val="0"/>
                <w:szCs w:val="21"/>
              </w:rPr>
            </w:pPr>
            <w:r>
              <w:rPr>
                <w:rFonts w:eastAsia="仿宋_GB2312"/>
                <w:color w:val="000000"/>
                <w:kern w:val="0"/>
                <w:szCs w:val="21"/>
              </w:rPr>
              <w:t>强化社区（村）、物业、业委会、居民（村民）四方联动，完善爱国卫生公共卫生志愿服务机制</w:t>
            </w:r>
          </w:p>
        </w:tc>
        <w:tc>
          <w:tcPr>
            <w:tcW w:w="678" w:type="dxa"/>
            <w:noWrap w:val="0"/>
            <w:vAlign w:val="center"/>
          </w:tcPr>
          <w:p>
            <w:pPr>
              <w:jc w:val="center"/>
              <w:rPr>
                <w:rFonts w:eastAsia="仿宋_GB2312"/>
                <w:bCs/>
                <w:color w:val="000000"/>
                <w:kern w:val="0"/>
                <w:szCs w:val="21"/>
              </w:rPr>
            </w:pPr>
            <w:r>
              <w:rPr>
                <w:rFonts w:eastAsia="仿宋_GB2312"/>
                <w:bCs/>
                <w:color w:val="000000"/>
                <w:kern w:val="0"/>
                <w:szCs w:val="21"/>
              </w:rPr>
              <w:t>2</w:t>
            </w:r>
          </w:p>
        </w:tc>
        <w:tc>
          <w:tcPr>
            <w:tcW w:w="5664" w:type="dxa"/>
            <w:noWrap w:val="0"/>
            <w:vAlign w:val="center"/>
          </w:tcPr>
          <w:p>
            <w:pPr>
              <w:widowControl/>
              <w:textAlignment w:val="center"/>
              <w:rPr>
                <w:rFonts w:eastAsia="仿宋_GB2312"/>
                <w:color w:val="000000"/>
                <w:kern w:val="0"/>
                <w:szCs w:val="21"/>
              </w:rPr>
            </w:pPr>
            <w:r>
              <w:rPr>
                <w:rFonts w:eastAsia="仿宋_GB2312"/>
                <w:color w:val="000000"/>
                <w:kern w:val="0"/>
                <w:szCs w:val="21"/>
              </w:rPr>
              <w:t>四方联动存在问题的，每1项扣0.5分。</w:t>
            </w:r>
          </w:p>
          <w:p>
            <w:pPr>
              <w:widowControl/>
              <w:textAlignment w:val="center"/>
              <w:rPr>
                <w:rFonts w:eastAsia="仿宋_GB2312"/>
                <w:color w:val="000000"/>
                <w:kern w:val="0"/>
                <w:szCs w:val="21"/>
              </w:rPr>
            </w:pPr>
            <w:r>
              <w:rPr>
                <w:rFonts w:eastAsia="仿宋_GB2312"/>
                <w:color w:val="000000"/>
                <w:kern w:val="0"/>
                <w:szCs w:val="21"/>
              </w:rPr>
              <w:t>在志愿服务工作中，体现爱国卫生及公共卫生相关服务内容。未建立相关志愿服务机制，扣1分，少于2次相关志愿服务活动的，扣1分。</w:t>
            </w:r>
          </w:p>
        </w:tc>
        <w:tc>
          <w:tcPr>
            <w:tcW w:w="1478" w:type="dxa"/>
            <w:noWrap w:val="0"/>
            <w:vAlign w:val="center"/>
          </w:tcPr>
          <w:p>
            <w:pPr>
              <w:widowControl/>
              <w:textAlignment w:val="center"/>
              <w:rPr>
                <w:rFonts w:eastAsia="仿宋_GB2312"/>
                <w:color w:val="000000"/>
                <w:kern w:val="0"/>
                <w:szCs w:val="21"/>
              </w:rPr>
            </w:pPr>
          </w:p>
        </w:tc>
        <w:tc>
          <w:tcPr>
            <w:tcW w:w="984" w:type="dxa"/>
          </w:tcPr>
          <w:p>
            <w:pPr>
              <w:widowControl/>
              <w:textAlignment w:val="center"/>
              <w:rPr>
                <w:rFonts w:eastAsia="仿宋_GB2312"/>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57" w:type="dxa"/>
            <w:bottom w:w="28" w:type="dxa"/>
            <w:right w:w="57" w:type="dxa"/>
          </w:tblCellMar>
        </w:tblPrEx>
        <w:trPr>
          <w:trHeight w:val="454" w:hRule="atLeast"/>
          <w:jc w:val="center"/>
        </w:trPr>
        <w:tc>
          <w:tcPr>
            <w:tcW w:w="1160" w:type="dxa"/>
            <w:vMerge w:val="continue"/>
            <w:noWrap w:val="0"/>
            <w:vAlign w:val="center"/>
          </w:tcPr>
          <w:p>
            <w:pPr>
              <w:widowControl/>
              <w:textAlignment w:val="center"/>
              <w:rPr>
                <w:rFonts w:hint="eastAsia" w:ascii="黑体" w:hAnsi="黑体" w:eastAsia="黑体" w:cs="黑体"/>
                <w:bCs/>
                <w:color w:val="000000"/>
                <w:szCs w:val="21"/>
              </w:rPr>
            </w:pPr>
          </w:p>
        </w:tc>
        <w:tc>
          <w:tcPr>
            <w:tcW w:w="1250" w:type="dxa"/>
            <w:vMerge w:val="continue"/>
            <w:noWrap w:val="0"/>
            <w:vAlign w:val="center"/>
          </w:tcPr>
          <w:p>
            <w:pPr>
              <w:widowControl/>
              <w:textAlignment w:val="center"/>
              <w:rPr>
                <w:rFonts w:eastAsia="仿宋_GB2312"/>
                <w:color w:val="000000"/>
                <w:kern w:val="0"/>
                <w:szCs w:val="21"/>
              </w:rPr>
            </w:pPr>
          </w:p>
        </w:tc>
        <w:tc>
          <w:tcPr>
            <w:tcW w:w="3299" w:type="dxa"/>
            <w:noWrap w:val="0"/>
            <w:vAlign w:val="center"/>
          </w:tcPr>
          <w:p>
            <w:pPr>
              <w:rPr>
                <w:rFonts w:eastAsia="仿宋_GB2312"/>
                <w:color w:val="000000"/>
                <w:kern w:val="0"/>
                <w:szCs w:val="21"/>
              </w:rPr>
            </w:pPr>
            <w:r>
              <w:rPr>
                <w:rFonts w:eastAsia="仿宋_GB2312"/>
                <w:color w:val="000000"/>
                <w:kern w:val="0"/>
                <w:szCs w:val="21"/>
              </w:rPr>
              <w:t>探索实施健康积分、健康激励等制度</w:t>
            </w:r>
          </w:p>
        </w:tc>
        <w:tc>
          <w:tcPr>
            <w:tcW w:w="678" w:type="dxa"/>
            <w:noWrap w:val="0"/>
            <w:vAlign w:val="center"/>
          </w:tcPr>
          <w:p>
            <w:pPr>
              <w:jc w:val="center"/>
              <w:rPr>
                <w:rFonts w:eastAsia="仿宋_GB2312"/>
                <w:bCs/>
                <w:color w:val="000000"/>
                <w:kern w:val="0"/>
                <w:szCs w:val="21"/>
              </w:rPr>
            </w:pPr>
            <w:r>
              <w:rPr>
                <w:rFonts w:eastAsia="仿宋_GB2312"/>
                <w:bCs/>
                <w:color w:val="000000"/>
                <w:kern w:val="0"/>
                <w:szCs w:val="21"/>
              </w:rPr>
              <w:t>4</w:t>
            </w:r>
          </w:p>
        </w:tc>
        <w:tc>
          <w:tcPr>
            <w:tcW w:w="5664" w:type="dxa"/>
            <w:noWrap w:val="0"/>
            <w:vAlign w:val="center"/>
          </w:tcPr>
          <w:p>
            <w:pPr>
              <w:widowControl/>
              <w:textAlignment w:val="center"/>
              <w:rPr>
                <w:rFonts w:eastAsia="仿宋_GB2312"/>
                <w:color w:val="000000"/>
                <w:kern w:val="0"/>
                <w:szCs w:val="21"/>
              </w:rPr>
            </w:pPr>
            <w:r>
              <w:rPr>
                <w:rFonts w:eastAsia="仿宋_GB2312"/>
                <w:color w:val="000000"/>
                <w:kern w:val="0"/>
                <w:szCs w:val="21"/>
              </w:rPr>
              <w:t>现场查看2个项目实施情况，根据当地实际，至少制定1项旨在激励健康促进相关的制度。发现制度有问题的，每个问题扣0.5分；未探索制定相关制度，不得分。</w:t>
            </w:r>
          </w:p>
        </w:tc>
        <w:tc>
          <w:tcPr>
            <w:tcW w:w="1478" w:type="dxa"/>
            <w:noWrap w:val="0"/>
            <w:vAlign w:val="center"/>
          </w:tcPr>
          <w:p>
            <w:pPr>
              <w:widowControl/>
              <w:textAlignment w:val="center"/>
              <w:rPr>
                <w:rFonts w:eastAsia="仿宋_GB2312"/>
                <w:color w:val="000000"/>
                <w:kern w:val="0"/>
                <w:szCs w:val="21"/>
              </w:rPr>
            </w:pPr>
          </w:p>
        </w:tc>
        <w:tc>
          <w:tcPr>
            <w:tcW w:w="984" w:type="dxa"/>
          </w:tcPr>
          <w:p>
            <w:pPr>
              <w:widowControl/>
              <w:textAlignment w:val="center"/>
              <w:rPr>
                <w:rFonts w:eastAsia="仿宋_GB2312"/>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57" w:type="dxa"/>
            <w:bottom w:w="28" w:type="dxa"/>
            <w:right w:w="57" w:type="dxa"/>
          </w:tblCellMar>
        </w:tblPrEx>
        <w:trPr>
          <w:trHeight w:val="454" w:hRule="atLeast"/>
          <w:jc w:val="center"/>
        </w:trPr>
        <w:tc>
          <w:tcPr>
            <w:tcW w:w="1160" w:type="dxa"/>
            <w:vMerge w:val="continue"/>
            <w:noWrap w:val="0"/>
            <w:vAlign w:val="center"/>
          </w:tcPr>
          <w:p>
            <w:pPr>
              <w:widowControl/>
              <w:textAlignment w:val="center"/>
              <w:rPr>
                <w:rFonts w:hint="eastAsia" w:ascii="黑体" w:hAnsi="黑体" w:eastAsia="黑体" w:cs="黑体"/>
                <w:bCs/>
                <w:color w:val="000000"/>
                <w:szCs w:val="21"/>
              </w:rPr>
            </w:pPr>
          </w:p>
        </w:tc>
        <w:tc>
          <w:tcPr>
            <w:tcW w:w="1250" w:type="dxa"/>
            <w:noWrap w:val="0"/>
            <w:vAlign w:val="center"/>
          </w:tcPr>
          <w:p>
            <w:pPr>
              <w:widowControl/>
              <w:textAlignment w:val="center"/>
              <w:rPr>
                <w:rFonts w:eastAsia="仿宋_GB2312"/>
                <w:color w:val="000000"/>
                <w:kern w:val="0"/>
                <w:szCs w:val="21"/>
              </w:rPr>
            </w:pPr>
            <w:r>
              <w:rPr>
                <w:rFonts w:eastAsia="仿宋_GB2312"/>
                <w:color w:val="000000"/>
                <w:kern w:val="0"/>
                <w:szCs w:val="21"/>
              </w:rPr>
              <w:t>18.建立健康影响评价评估制度</w:t>
            </w:r>
          </w:p>
        </w:tc>
        <w:tc>
          <w:tcPr>
            <w:tcW w:w="3299" w:type="dxa"/>
            <w:noWrap w:val="0"/>
            <w:vAlign w:val="center"/>
          </w:tcPr>
          <w:p>
            <w:pPr>
              <w:rPr>
                <w:rFonts w:eastAsia="仿宋_GB2312"/>
                <w:color w:val="000000"/>
                <w:kern w:val="0"/>
                <w:szCs w:val="21"/>
              </w:rPr>
            </w:pPr>
            <w:r>
              <w:rPr>
                <w:rFonts w:eastAsia="仿宋_GB2312"/>
                <w:color w:val="000000"/>
                <w:kern w:val="0"/>
                <w:szCs w:val="21"/>
              </w:rPr>
              <w:t>开展健康监测，掌握乡镇主要健康问题并实施有效干预，开展年度评价。</w:t>
            </w:r>
          </w:p>
        </w:tc>
        <w:tc>
          <w:tcPr>
            <w:tcW w:w="678" w:type="dxa"/>
            <w:noWrap w:val="0"/>
            <w:vAlign w:val="center"/>
          </w:tcPr>
          <w:p>
            <w:pPr>
              <w:jc w:val="center"/>
              <w:rPr>
                <w:rFonts w:eastAsia="仿宋_GB2312"/>
                <w:bCs/>
                <w:color w:val="000000"/>
                <w:kern w:val="0"/>
                <w:szCs w:val="21"/>
              </w:rPr>
            </w:pPr>
            <w:r>
              <w:rPr>
                <w:rFonts w:eastAsia="仿宋_GB2312"/>
                <w:bCs/>
                <w:color w:val="000000"/>
                <w:kern w:val="0"/>
                <w:szCs w:val="21"/>
              </w:rPr>
              <w:t>5</w:t>
            </w:r>
          </w:p>
        </w:tc>
        <w:tc>
          <w:tcPr>
            <w:tcW w:w="5664" w:type="dxa"/>
            <w:noWrap w:val="0"/>
            <w:vAlign w:val="center"/>
          </w:tcPr>
          <w:p>
            <w:pPr>
              <w:widowControl/>
              <w:textAlignment w:val="center"/>
              <w:rPr>
                <w:rFonts w:eastAsia="仿宋_GB2312"/>
                <w:color w:val="000000"/>
                <w:kern w:val="0"/>
                <w:szCs w:val="21"/>
              </w:rPr>
            </w:pPr>
            <w:r>
              <w:rPr>
                <w:rFonts w:eastAsia="仿宋_GB2312"/>
                <w:color w:val="000000"/>
                <w:kern w:val="0"/>
                <w:szCs w:val="21"/>
              </w:rPr>
              <w:t>未开展居民、职工健康体检及健康环境指标监测与指标分析，扣2分；发现健康监测工作有问题的，每个问题扣0.5分。</w:t>
            </w:r>
          </w:p>
          <w:p>
            <w:pPr>
              <w:widowControl/>
              <w:textAlignment w:val="center"/>
              <w:rPr>
                <w:rFonts w:eastAsia="仿宋_GB2312"/>
                <w:color w:val="000000"/>
                <w:kern w:val="0"/>
                <w:szCs w:val="21"/>
              </w:rPr>
            </w:pPr>
            <w:r>
              <w:rPr>
                <w:rFonts w:eastAsia="仿宋_GB2312"/>
                <w:color w:val="000000"/>
                <w:kern w:val="0"/>
                <w:szCs w:val="21"/>
              </w:rPr>
              <w:t>未落实健康影响因素有效干预措施，扣3分。</w:t>
            </w:r>
          </w:p>
        </w:tc>
        <w:tc>
          <w:tcPr>
            <w:tcW w:w="1478" w:type="dxa"/>
            <w:noWrap w:val="0"/>
            <w:vAlign w:val="center"/>
          </w:tcPr>
          <w:p>
            <w:pPr>
              <w:widowControl/>
              <w:textAlignment w:val="center"/>
              <w:rPr>
                <w:rFonts w:eastAsia="仿宋_GB2312"/>
                <w:color w:val="000000"/>
                <w:kern w:val="0"/>
                <w:szCs w:val="21"/>
              </w:rPr>
            </w:pPr>
          </w:p>
        </w:tc>
        <w:tc>
          <w:tcPr>
            <w:tcW w:w="984" w:type="dxa"/>
          </w:tcPr>
          <w:p>
            <w:pPr>
              <w:widowControl/>
              <w:textAlignment w:val="center"/>
              <w:rPr>
                <w:rFonts w:eastAsia="仿宋_GB2312"/>
                <w:color w:val="000000"/>
                <w:kern w:val="0"/>
                <w:szCs w:val="21"/>
              </w:rPr>
            </w:pPr>
          </w:p>
        </w:tc>
      </w:tr>
    </w:tbl>
    <w:p>
      <w:pPr>
        <w:jc w:val="center"/>
        <w:rPr>
          <w:rFonts w:eastAsia="仿宋_GB2312"/>
          <w:color w:val="000000"/>
          <w:kern w:val="0"/>
          <w:szCs w:val="21"/>
        </w:rPr>
      </w:pPr>
    </w:p>
    <w:p>
      <w:pPr>
        <w:spacing w:line="600" w:lineRule="exact"/>
        <w:rPr>
          <w:rFonts w:eastAsia="仿宋_GB2312"/>
          <w:sz w:val="32"/>
          <w:szCs w:val="32"/>
        </w:rPr>
      </w:pPr>
    </w:p>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方正小标宋简体">
    <w:altName w:val="黑体"/>
    <w:panose1 w:val="03000509000000000000"/>
    <w:charset w:val="86"/>
    <w:family w:val="script"/>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CD21E"/>
    <w:multiLevelType w:val="singleLevel"/>
    <w:tmpl w:val="1CACD21E"/>
    <w:lvl w:ilvl="0" w:tentative="0">
      <w:start w:val="6"/>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C21ED4"/>
    <w:rsid w:val="35C21E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footer"/>
    <w:basedOn w:val="1"/>
    <w:unhideWhenUsed/>
    <w:uiPriority w:val="99"/>
    <w:pPr>
      <w:tabs>
        <w:tab w:val="center" w:pos="4153"/>
        <w:tab w:val="right" w:pos="8306"/>
      </w:tabs>
      <w:snapToGrid w:val="0"/>
      <w:jc w:val="left"/>
    </w:pPr>
    <w:rPr>
      <w:sz w:val="18"/>
      <w:szCs w:val="18"/>
    </w:rPr>
  </w:style>
  <w:style w:type="character" w:styleId="5">
    <w:name w:val="page number"/>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Office_11.8.2.8276_F1E327BC-269C-435d-A152-05C5408002CA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2021-08-27T01:58:00Z</dcterms:created>
  <dc:creator>admin</dc:creator>
  <cp:lastModifiedBy>admin</cp:lastModifiedBy>
  <dcterms:modified xsi:type="dcterms:W3CDTF">2021-08-27T02:01:07Z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2052-11.8.2.8276</vt:lpwstr>
  </property>
</Properties>
</file>