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rPr>
      </w:pPr>
      <w:r>
        <w:rPr>
          <w:rFonts w:eastAsia="黑体"/>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基层医疗卫生机构绩效考核指标体系（试行）</w:t>
      </w:r>
    </w:p>
    <w:p>
      <w:pPr>
        <w:jc w:val="center"/>
        <w:rPr>
          <w:b/>
          <w:bCs/>
          <w:szCs w:val="21"/>
        </w:rPr>
      </w:pPr>
    </w:p>
    <w:tbl>
      <w:tblPr>
        <w:tblStyle w:val="4"/>
        <w:tblW w:w="14638" w:type="dxa"/>
        <w:jc w:val="center"/>
        <w:tblInd w:w="-1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55"/>
        <w:gridCol w:w="1508"/>
        <w:gridCol w:w="1250"/>
        <w:gridCol w:w="8120"/>
        <w:gridCol w:w="1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18"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一级指标</w:t>
            </w:r>
          </w:p>
        </w:tc>
        <w:tc>
          <w:tcPr>
            <w:tcW w:w="1155"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二级指标</w:t>
            </w:r>
          </w:p>
        </w:tc>
        <w:tc>
          <w:tcPr>
            <w:tcW w:w="1508"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三级指标</w:t>
            </w:r>
          </w:p>
        </w:tc>
        <w:tc>
          <w:tcPr>
            <w:tcW w:w="1250"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指标性质</w:t>
            </w:r>
          </w:p>
        </w:tc>
        <w:tc>
          <w:tcPr>
            <w:tcW w:w="8120"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指标说明</w:t>
            </w:r>
          </w:p>
        </w:tc>
        <w:tc>
          <w:tcPr>
            <w:tcW w:w="1487" w:type="dxa"/>
            <w:noWrap w:val="0"/>
            <w:tcMar>
              <w:top w:w="0" w:type="dxa"/>
              <w:left w:w="57" w:type="dxa"/>
              <w:bottom w:w="0" w:type="dxa"/>
              <w:right w:w="57" w:type="dxa"/>
            </w:tcMar>
            <w:vAlign w:val="center"/>
          </w:tcPr>
          <w:p>
            <w:pPr>
              <w:jc w:val="center"/>
              <w:rPr>
                <w:rFonts w:hint="eastAsia" w:ascii="黑体" w:hAnsi="黑体" w:eastAsia="黑体" w:cs="黑体"/>
                <w:sz w:val="24"/>
              </w:rPr>
            </w:pPr>
            <w:r>
              <w:rPr>
                <w:rFonts w:hint="eastAsia" w:ascii="黑体" w:hAnsi="黑体" w:eastAsia="黑体" w:cs="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restart"/>
            <w:noWrap w:val="0"/>
            <w:tcMar>
              <w:top w:w="0" w:type="dxa"/>
              <w:left w:w="57" w:type="dxa"/>
              <w:bottom w:w="0" w:type="dxa"/>
              <w:right w:w="57" w:type="dxa"/>
            </w:tcMar>
            <w:vAlign w:val="center"/>
          </w:tcPr>
          <w:p>
            <w:pPr>
              <w:widowControl/>
              <w:textAlignment w:val="center"/>
              <w:rPr>
                <w:rFonts w:eastAsia="仿宋_GB2312"/>
                <w:kern w:val="0"/>
                <w:sz w:val="24"/>
                <w:lang w:bidi="ar"/>
              </w:rPr>
            </w:pPr>
            <w:r>
              <w:rPr>
                <w:rFonts w:eastAsia="仿宋_GB2312"/>
                <w:kern w:val="0"/>
                <w:sz w:val="24"/>
                <w:lang w:bidi="ar"/>
              </w:rPr>
              <w:t>一、服务提供</w:t>
            </w:r>
          </w:p>
          <w:p>
            <w:pPr>
              <w:rPr>
                <w:rFonts w:eastAsia="仿宋_GB2312"/>
                <w:sz w:val="24"/>
              </w:rPr>
            </w:pPr>
          </w:p>
          <w:p>
            <w:pPr>
              <w:rPr>
                <w:rFonts w:eastAsia="仿宋_GB2312"/>
                <w:sz w:val="24"/>
              </w:rPr>
            </w:pPr>
          </w:p>
        </w:tc>
        <w:tc>
          <w:tcPr>
            <w:tcW w:w="1155" w:type="dxa"/>
            <w:vMerge w:val="restart"/>
            <w:noWrap w:val="0"/>
            <w:tcMar>
              <w:top w:w="0" w:type="dxa"/>
              <w:left w:w="57" w:type="dxa"/>
              <w:bottom w:w="0" w:type="dxa"/>
              <w:right w:w="57" w:type="dxa"/>
            </w:tcMar>
            <w:vAlign w:val="center"/>
          </w:tcPr>
          <w:p>
            <w:pPr>
              <w:widowControl/>
              <w:textAlignment w:val="center"/>
              <w:rPr>
                <w:rFonts w:eastAsia="仿宋_GB2312"/>
                <w:sz w:val="24"/>
              </w:rPr>
            </w:pPr>
            <w:r>
              <w:rPr>
                <w:rFonts w:eastAsia="仿宋_GB2312"/>
                <w:kern w:val="0"/>
                <w:sz w:val="24"/>
                <w:lang w:bidi="ar"/>
              </w:rPr>
              <w:t>（一）功能定位</w:t>
            </w:r>
          </w:p>
        </w:tc>
        <w:tc>
          <w:tcPr>
            <w:tcW w:w="1508" w:type="dxa"/>
            <w:noWrap w:val="0"/>
            <w:tcMar>
              <w:top w:w="0" w:type="dxa"/>
              <w:left w:w="57" w:type="dxa"/>
              <w:bottom w:w="0" w:type="dxa"/>
              <w:right w:w="57" w:type="dxa"/>
            </w:tcMar>
            <w:vAlign w:val="center"/>
          </w:tcPr>
          <w:p>
            <w:pPr>
              <w:widowControl/>
              <w:textAlignment w:val="center"/>
              <w:rPr>
                <w:rFonts w:eastAsia="仿宋_GB2312"/>
                <w:sz w:val="24"/>
              </w:rPr>
            </w:pPr>
            <w:r>
              <w:rPr>
                <w:rFonts w:eastAsia="仿宋_GB2312"/>
                <w:kern w:val="0"/>
                <w:sz w:val="24"/>
                <w:lang w:bidi="ar"/>
              </w:rPr>
              <w:t>1.诊疗人次数</w:t>
            </w:r>
          </w:p>
        </w:tc>
        <w:tc>
          <w:tcPr>
            <w:tcW w:w="1250" w:type="dxa"/>
            <w:noWrap w:val="0"/>
            <w:tcMar>
              <w:top w:w="0" w:type="dxa"/>
              <w:left w:w="57" w:type="dxa"/>
              <w:bottom w:w="0" w:type="dxa"/>
              <w:right w:w="57" w:type="dxa"/>
            </w:tcMar>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tcMar>
              <w:top w:w="0" w:type="dxa"/>
              <w:left w:w="57" w:type="dxa"/>
              <w:bottom w:w="0" w:type="dxa"/>
              <w:right w:w="57" w:type="dxa"/>
            </w:tcMar>
            <w:vAlign w:val="center"/>
          </w:tcPr>
          <w:p>
            <w:pPr>
              <w:widowControl/>
              <w:textAlignment w:val="top"/>
              <w:rPr>
                <w:rFonts w:eastAsia="仿宋_GB2312"/>
                <w:kern w:val="0"/>
                <w:sz w:val="24"/>
                <w:lang w:bidi="ar"/>
              </w:rPr>
            </w:pPr>
            <w:r>
              <w:rPr>
                <w:rFonts w:eastAsia="仿宋_GB2312"/>
                <w:kern w:val="0"/>
                <w:sz w:val="24"/>
                <w:lang w:bidi="ar"/>
              </w:rPr>
              <w:t>具体按照省、市、县（市、区）规定的相关要求。</w:t>
            </w:r>
          </w:p>
          <w:p>
            <w:pPr>
              <w:widowControl/>
              <w:textAlignment w:val="top"/>
              <w:rPr>
                <w:rFonts w:eastAsia="仿宋_GB2312"/>
                <w:kern w:val="0"/>
                <w:sz w:val="24"/>
                <w:lang w:bidi="ar"/>
              </w:rPr>
            </w:pPr>
            <w:r>
              <w:rPr>
                <w:rFonts w:eastAsia="仿宋_GB2312"/>
                <w:kern w:val="0"/>
                <w:sz w:val="24"/>
                <w:lang w:bidi="ar"/>
              </w:rPr>
              <w:t>【计算方法】</w:t>
            </w:r>
          </w:p>
          <w:p>
            <w:pPr>
              <w:widowControl/>
              <w:textAlignment w:val="top"/>
              <w:rPr>
                <w:rFonts w:eastAsia="仿宋_GB2312"/>
                <w:sz w:val="24"/>
              </w:rPr>
            </w:pPr>
            <w:r>
              <w:rPr>
                <w:rFonts w:eastAsia="仿宋_GB2312"/>
                <w:kern w:val="0"/>
                <w:sz w:val="24"/>
                <w:lang w:bidi="ar"/>
              </w:rPr>
              <w:t>（1）</w:t>
            </w:r>
            <w:r>
              <w:rPr>
                <w:rFonts w:eastAsia="仿宋_GB2312"/>
                <w:sz w:val="24"/>
              </w:rPr>
              <w:t>门急诊人次增长率=（本年度门急诊人次数-上年度门急诊人次数）/上年度门急诊人次数×100%；</w:t>
            </w:r>
          </w:p>
          <w:p>
            <w:pPr>
              <w:widowControl/>
              <w:textAlignment w:val="top"/>
              <w:rPr>
                <w:rFonts w:eastAsia="仿宋_GB2312"/>
                <w:kern w:val="0"/>
                <w:sz w:val="24"/>
                <w:lang w:bidi="ar"/>
              </w:rPr>
            </w:pPr>
            <w:r>
              <w:rPr>
                <w:rFonts w:eastAsia="仿宋_GB2312"/>
                <w:kern w:val="0"/>
                <w:sz w:val="24"/>
                <w:lang w:bidi="ar"/>
              </w:rPr>
              <w:t>（2）每万人服务门诊当量=辖区门诊服务总当量/辖区内常住居民数×10000；</w:t>
            </w:r>
            <w:r>
              <w:rPr>
                <w:rFonts w:eastAsia="仿宋_GB2312"/>
                <w:kern w:val="0"/>
                <w:sz w:val="24"/>
                <w:lang w:bidi="ar"/>
              </w:rPr>
              <w:br w:type="textWrapping"/>
            </w:r>
            <w:r>
              <w:rPr>
                <w:rFonts w:eastAsia="仿宋_GB2312"/>
                <w:kern w:val="0"/>
                <w:sz w:val="24"/>
                <w:lang w:bidi="ar"/>
              </w:rPr>
              <w:t>（3）乡镇卫生院和社区卫生服务机构诊疗人次占比=辖区乡镇卫生院和社区卫生服务机构总诊疗人次数/辖区所有医疗机构总诊疗人次数×100%。</w:t>
            </w:r>
            <w:r>
              <w:rPr>
                <w:rFonts w:eastAsia="仿宋_GB2312"/>
                <w:kern w:val="0"/>
                <w:sz w:val="24"/>
                <w:lang w:bidi="ar"/>
              </w:rPr>
              <w:br w:type="textWrapping"/>
            </w:r>
            <w:r>
              <w:rPr>
                <w:rFonts w:eastAsia="仿宋_GB2312"/>
                <w:kern w:val="0"/>
                <w:sz w:val="24"/>
                <w:lang w:bidi="ar"/>
              </w:rPr>
              <w:t>【数据来源】基层医疗卫生机构补偿机制改革绩效考核系统、卫生健康统计年报。</w:t>
            </w:r>
          </w:p>
        </w:tc>
        <w:tc>
          <w:tcPr>
            <w:tcW w:w="1487" w:type="dxa"/>
            <w:noWrap w:val="0"/>
            <w:tcMar>
              <w:top w:w="0" w:type="dxa"/>
              <w:left w:w="6" w:type="dxa"/>
              <w:bottom w:w="0"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2.出院人数</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top"/>
              <w:rPr>
                <w:rFonts w:eastAsia="仿宋_GB2312"/>
                <w:spacing w:val="9"/>
                <w:kern w:val="0"/>
                <w:sz w:val="24"/>
                <w:lang w:bidi="ar"/>
              </w:rPr>
            </w:pPr>
            <w:r>
              <w:rPr>
                <w:rFonts w:eastAsia="仿宋_GB2312"/>
                <w:spacing w:val="9"/>
                <w:kern w:val="0"/>
                <w:sz w:val="24"/>
                <w:lang w:bidi="ar"/>
              </w:rPr>
              <w:t>具体按照省、市、县（市、区）规定的相关要求，没有病床的机构不考核此项。</w:t>
            </w:r>
          </w:p>
          <w:p>
            <w:pPr>
              <w:widowControl/>
              <w:textAlignment w:val="top"/>
              <w:rPr>
                <w:rFonts w:eastAsia="仿宋_GB2312"/>
                <w:kern w:val="0"/>
                <w:sz w:val="24"/>
                <w:lang w:bidi="ar"/>
              </w:rPr>
            </w:pPr>
            <w:r>
              <w:rPr>
                <w:rFonts w:eastAsia="仿宋_GB2312"/>
                <w:kern w:val="0"/>
                <w:sz w:val="24"/>
                <w:lang w:bidi="ar"/>
              </w:rPr>
              <w:t>【计算方法】</w:t>
            </w:r>
          </w:p>
          <w:p>
            <w:pPr>
              <w:widowControl/>
              <w:textAlignment w:val="top"/>
              <w:rPr>
                <w:rFonts w:eastAsia="仿宋_GB2312"/>
                <w:sz w:val="24"/>
              </w:rPr>
            </w:pPr>
            <w:r>
              <w:rPr>
                <w:rFonts w:eastAsia="仿宋_GB2312"/>
                <w:kern w:val="0"/>
                <w:sz w:val="24"/>
                <w:lang w:bidi="ar"/>
              </w:rPr>
              <w:t>（1）</w:t>
            </w:r>
            <w:r>
              <w:rPr>
                <w:rFonts w:eastAsia="仿宋_GB2312"/>
                <w:sz w:val="24"/>
              </w:rPr>
              <w:t>出院人次增长率=（本年度出院人次数-上年度出院人次数）/上年度出院人次数×100%；</w:t>
            </w:r>
          </w:p>
          <w:p>
            <w:pPr>
              <w:widowControl/>
              <w:textAlignment w:val="top"/>
              <w:rPr>
                <w:rFonts w:eastAsia="仿宋_GB2312"/>
                <w:kern w:val="0"/>
                <w:sz w:val="24"/>
                <w:lang w:bidi="ar"/>
              </w:rPr>
            </w:pPr>
            <w:r>
              <w:rPr>
                <w:rFonts w:eastAsia="仿宋_GB2312"/>
                <w:kern w:val="0"/>
                <w:sz w:val="24"/>
                <w:lang w:bidi="ar"/>
              </w:rPr>
              <w:t>（2）每万人服务住院当量=辖区住院总当量/辖区内常住居民数×10000。</w:t>
            </w:r>
          </w:p>
          <w:p>
            <w:pPr>
              <w:widowControl/>
              <w:textAlignment w:val="top"/>
              <w:rPr>
                <w:rFonts w:eastAsia="仿宋_GB2312"/>
                <w:sz w:val="24"/>
              </w:rPr>
            </w:pPr>
            <w:r>
              <w:rPr>
                <w:rFonts w:eastAsia="仿宋_GB2312"/>
                <w:kern w:val="0"/>
                <w:sz w:val="24"/>
                <w:lang w:bidi="ar"/>
              </w:rPr>
              <w:t>【数据来源】基层医疗卫生机构补偿机制改革绩效考核系统、卫生健康统计年报。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br w:type="textWrapping"/>
            </w: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spacing w:val="-9"/>
                <w:kern w:val="0"/>
                <w:sz w:val="24"/>
                <w:lang w:bidi="ar"/>
              </w:rPr>
              <w:t>3.中医药服务</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具体按照省、市、县（市、区）规定的相关要求。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（1）中医诊疗人次占比=中医诊疗人次数/总诊疗人次数×100%；</w:t>
            </w:r>
            <w:r>
              <w:rPr>
                <w:rFonts w:eastAsia="仿宋_GB2312"/>
                <w:kern w:val="0"/>
                <w:sz w:val="24"/>
                <w:lang w:bidi="ar"/>
              </w:rPr>
              <w:br w:type="textWrapping"/>
            </w:r>
            <w:r>
              <w:rPr>
                <w:rFonts w:eastAsia="仿宋_GB2312"/>
                <w:kern w:val="0"/>
                <w:sz w:val="24"/>
                <w:lang w:bidi="ar"/>
              </w:rPr>
              <w:t>（2）提供中医医疗技术方法种类：指的是本年度基层医疗卫生机构能够开展的中医医疗技术方法种类数；</w:t>
            </w:r>
            <w:r>
              <w:rPr>
                <w:rFonts w:eastAsia="仿宋_GB2312"/>
                <w:kern w:val="0"/>
                <w:sz w:val="24"/>
                <w:lang w:bidi="ar"/>
              </w:rPr>
              <w:br w:type="textWrapping"/>
            </w:r>
            <w:r>
              <w:rPr>
                <w:rFonts w:eastAsia="仿宋_GB2312"/>
                <w:kern w:val="0"/>
                <w:sz w:val="24"/>
                <w:lang w:bidi="ar"/>
              </w:rPr>
              <w:t>（3）门诊中医非药物疗法诊疗人次占比=本年度门诊中医非药物疗法诊疗人次数/总诊疗人次数×100%；</w:t>
            </w:r>
            <w:r>
              <w:rPr>
                <w:rFonts w:eastAsia="仿宋_GB2312"/>
                <w:kern w:val="0"/>
                <w:sz w:val="24"/>
                <w:lang w:bidi="ar"/>
              </w:rPr>
              <w:br w:type="textWrapping"/>
            </w:r>
            <w:r>
              <w:rPr>
                <w:rFonts w:eastAsia="仿宋_GB2312"/>
                <w:kern w:val="0"/>
                <w:sz w:val="24"/>
                <w:lang w:bidi="ar"/>
              </w:rPr>
              <w:t>（4）中医馆设置：指的是社区卫生服务中心、乡镇卫生院中医科室集中设置，多种中医药技术方法综合使用并相对独立的综合服务区（中医馆）情况；</w:t>
            </w:r>
          </w:p>
          <w:p>
            <w:pPr>
              <w:widowControl/>
              <w:textAlignment w:val="top"/>
              <w:rPr>
                <w:rFonts w:eastAsia="仿宋_GB2312"/>
                <w:sz w:val="24"/>
              </w:rPr>
            </w:pPr>
            <w:r>
              <w:rPr>
                <w:rFonts w:eastAsia="仿宋_GB2312"/>
                <w:kern w:val="0"/>
                <w:sz w:val="24"/>
                <w:lang w:bidi="ar"/>
              </w:rPr>
              <w:t>（5）老年人中医药健康管理率=年内接受中医药健康管理服务的65岁及以上居民数/年内辖区内65岁及以上常住居民数×100%</w:t>
            </w:r>
            <w:r>
              <w:rPr>
                <w:rFonts w:hint="eastAsia" w:eastAsia="仿宋_GB2312"/>
                <w:kern w:val="0"/>
                <w:sz w:val="24"/>
                <w:lang w:bidi="ar"/>
              </w:rPr>
              <w:t>；</w:t>
            </w:r>
            <w:r>
              <w:rPr>
                <w:rFonts w:eastAsia="仿宋_GB2312"/>
                <w:kern w:val="0"/>
                <w:sz w:val="24"/>
                <w:lang w:bidi="ar"/>
              </w:rPr>
              <w:br w:type="textWrapping"/>
            </w:r>
            <w:r>
              <w:rPr>
                <w:rFonts w:eastAsia="仿宋_GB2312"/>
                <w:kern w:val="0"/>
                <w:sz w:val="24"/>
                <w:lang w:bidi="ar"/>
              </w:rPr>
              <w:t>（6）0-36个月儿童中医药健康管理率=年内辖区内按照月龄接受中医药健康管理服务的0-36个月儿童数/年内辖区内应管理的0-36个月儿童数×100%。</w:t>
            </w:r>
            <w:r>
              <w:rPr>
                <w:rFonts w:eastAsia="仿宋_GB2312"/>
                <w:kern w:val="0"/>
                <w:sz w:val="24"/>
                <w:lang w:bidi="ar"/>
              </w:rPr>
              <w:br w:type="textWrapping"/>
            </w:r>
            <w:r>
              <w:rPr>
                <w:rFonts w:eastAsia="仿宋_GB2312"/>
                <w:kern w:val="0"/>
                <w:sz w:val="24"/>
                <w:lang w:bidi="ar"/>
              </w:rPr>
              <w:t>【数据来源】省卫生健康信息网络直报系统、基层医疗卫生机构补偿机制改革绩效考核系统或其他数据来源。</w:t>
            </w:r>
          </w:p>
        </w:tc>
        <w:tc>
          <w:tcPr>
            <w:tcW w:w="1487" w:type="dxa"/>
            <w:noWrap w:val="0"/>
            <w:tcMar>
              <w:left w:w="6" w:type="dxa"/>
              <w:right w:w="6" w:type="dxa"/>
            </w:tcMar>
            <w:vAlign w:val="center"/>
          </w:tcPr>
          <w:p>
            <w:pPr>
              <w:jc w:val="center"/>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4.基层诊疗能力</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center"/>
              <w:rPr>
                <w:rFonts w:eastAsia="仿宋_GB2312"/>
                <w:kern w:val="0"/>
                <w:sz w:val="24"/>
                <w:lang w:bidi="ar"/>
              </w:rPr>
            </w:pPr>
            <w:r>
              <w:rPr>
                <w:rFonts w:eastAsia="仿宋_GB2312"/>
                <w:kern w:val="0"/>
                <w:sz w:val="24"/>
                <w:lang w:bidi="ar"/>
              </w:rPr>
              <w:t>按照“优质服务基层行”活动中医疗服务推荐病种和省、市、县（市、区）卫生健康行政部门规定的相关要求。</w:t>
            </w:r>
          </w:p>
          <w:p>
            <w:pPr>
              <w:widowControl/>
              <w:textAlignment w:val="center"/>
              <w:rPr>
                <w:rFonts w:eastAsia="仿宋_GB2312"/>
                <w:kern w:val="0"/>
                <w:sz w:val="24"/>
                <w:lang w:bidi="ar"/>
              </w:rPr>
            </w:pPr>
            <w:r>
              <w:rPr>
                <w:rFonts w:eastAsia="仿宋_GB2312"/>
                <w:kern w:val="0"/>
                <w:sz w:val="24"/>
                <w:lang w:bidi="ar"/>
              </w:rPr>
              <w:t>【计算方式】</w:t>
            </w:r>
            <w:r>
              <w:rPr>
                <w:rFonts w:eastAsia="仿宋_GB2312"/>
                <w:kern w:val="0"/>
                <w:sz w:val="24"/>
                <w:lang w:bidi="ar"/>
              </w:rPr>
              <w:br w:type="textWrapping"/>
            </w:r>
            <w:r>
              <w:rPr>
                <w:rFonts w:eastAsia="仿宋_GB2312"/>
                <w:kern w:val="0"/>
                <w:sz w:val="24"/>
                <w:lang w:bidi="ar"/>
              </w:rPr>
              <w:t>（1）至少能够识别和初步诊治常见病、多发病的病种数；</w:t>
            </w:r>
          </w:p>
          <w:p>
            <w:pPr>
              <w:widowControl/>
              <w:textAlignment w:val="center"/>
              <w:rPr>
                <w:rFonts w:eastAsia="仿宋_GB2312"/>
                <w:kern w:val="0"/>
                <w:sz w:val="24"/>
                <w:lang w:bidi="ar"/>
              </w:rPr>
            </w:pPr>
            <w:r>
              <w:rPr>
                <w:rFonts w:eastAsia="仿宋_GB2312"/>
                <w:kern w:val="0"/>
                <w:sz w:val="24"/>
                <w:lang w:bidi="ar"/>
              </w:rPr>
              <w:t>（2）近3年累计收治住院病种数。</w:t>
            </w:r>
            <w:r>
              <w:rPr>
                <w:rFonts w:eastAsia="仿宋_GB2312"/>
                <w:kern w:val="0"/>
                <w:sz w:val="24"/>
                <w:lang w:bidi="ar"/>
              </w:rPr>
              <w:br w:type="textWrapping"/>
            </w:r>
            <w:r>
              <w:rPr>
                <w:rFonts w:eastAsia="仿宋_GB2312"/>
                <w:kern w:val="0"/>
                <w:sz w:val="24"/>
                <w:lang w:bidi="ar"/>
              </w:rPr>
              <w:t>【数据来源】基层医疗卫生机构信息系统、基层医疗卫生机构补偿机制改革绩效考核系统。</w:t>
            </w:r>
          </w:p>
        </w:tc>
        <w:tc>
          <w:tcPr>
            <w:tcW w:w="1487" w:type="dxa"/>
            <w:noWrap w:val="0"/>
            <w:tcMar>
              <w:left w:w="6" w:type="dxa"/>
              <w:right w:w="6" w:type="dxa"/>
            </w:tcMar>
            <w:vAlign w:val="center"/>
          </w:tcPr>
          <w:p>
            <w:pPr>
              <w:widowControl/>
              <w:jc w:val="center"/>
              <w:textAlignment w:val="top"/>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5.基层手术能力</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center"/>
              <w:rPr>
                <w:rFonts w:eastAsia="仿宋_GB2312"/>
                <w:kern w:val="0"/>
                <w:sz w:val="24"/>
                <w:lang w:bidi="ar"/>
              </w:rPr>
            </w:pPr>
            <w:r>
              <w:rPr>
                <w:rFonts w:eastAsia="仿宋_GB2312"/>
                <w:kern w:val="0"/>
                <w:sz w:val="24"/>
                <w:lang w:bidi="ar"/>
              </w:rPr>
              <w:t>具体按照省、市、县（市、区）规定的相关要求。</w:t>
            </w:r>
          </w:p>
          <w:p>
            <w:pPr>
              <w:widowControl/>
              <w:textAlignment w:val="center"/>
              <w:rPr>
                <w:rFonts w:eastAsia="仿宋_GB2312"/>
                <w:sz w:val="24"/>
              </w:rPr>
            </w:pPr>
            <w:r>
              <w:rPr>
                <w:rFonts w:eastAsia="仿宋_GB2312"/>
                <w:kern w:val="0"/>
                <w:sz w:val="24"/>
                <w:lang w:bidi="ar"/>
              </w:rPr>
              <w:t>【计算方式】</w:t>
            </w:r>
            <w:r>
              <w:rPr>
                <w:rFonts w:eastAsia="仿宋_GB2312"/>
                <w:kern w:val="0"/>
                <w:sz w:val="24"/>
                <w:lang w:bidi="ar"/>
              </w:rPr>
              <w:br w:type="textWrapping"/>
            </w:r>
            <w:r>
              <w:rPr>
                <w:rFonts w:eastAsia="仿宋_GB2312"/>
                <w:kern w:val="0"/>
                <w:sz w:val="24"/>
                <w:lang w:bidi="ar"/>
              </w:rPr>
              <w:t>（1）能开展一级手术种数；</w:t>
            </w:r>
            <w:r>
              <w:rPr>
                <w:rFonts w:eastAsia="仿宋_GB2312"/>
                <w:kern w:val="0"/>
                <w:sz w:val="24"/>
                <w:lang w:bidi="ar"/>
              </w:rPr>
              <w:br w:type="textWrapping"/>
            </w:r>
            <w:r>
              <w:rPr>
                <w:rFonts w:eastAsia="仿宋_GB2312"/>
                <w:kern w:val="0"/>
                <w:sz w:val="24"/>
                <w:lang w:bidi="ar"/>
              </w:rPr>
              <w:t>（2）能开展二级手术种数；</w:t>
            </w:r>
            <w:r>
              <w:rPr>
                <w:rFonts w:eastAsia="仿宋_GB2312"/>
                <w:kern w:val="0"/>
                <w:sz w:val="24"/>
                <w:lang w:bidi="ar"/>
              </w:rPr>
              <w:br w:type="textWrapping"/>
            </w:r>
            <w:r>
              <w:rPr>
                <w:rFonts w:eastAsia="仿宋_GB2312"/>
                <w:kern w:val="0"/>
                <w:sz w:val="24"/>
                <w:lang w:bidi="ar"/>
              </w:rPr>
              <w:t>（3）能开展二级以上手术种数。</w:t>
            </w:r>
            <w:r>
              <w:rPr>
                <w:rFonts w:eastAsia="仿宋_GB2312"/>
                <w:kern w:val="0"/>
                <w:sz w:val="24"/>
                <w:lang w:bidi="ar"/>
              </w:rPr>
              <w:br w:type="textWrapping"/>
            </w:r>
            <w:r>
              <w:rPr>
                <w:rFonts w:eastAsia="仿宋_GB2312"/>
                <w:kern w:val="0"/>
                <w:sz w:val="24"/>
                <w:lang w:bidi="ar"/>
              </w:rPr>
              <w:t>【数据来源】基层医疗卫生机构信息系统、基层医疗卫生机构补偿机制改革绩效考核系统。</w:t>
            </w:r>
          </w:p>
        </w:tc>
        <w:tc>
          <w:tcPr>
            <w:tcW w:w="1487" w:type="dxa"/>
            <w:noWrap w:val="0"/>
            <w:tcMar>
              <w:left w:w="6" w:type="dxa"/>
              <w:right w:w="6" w:type="dxa"/>
            </w:tcMar>
            <w:vAlign w:val="center"/>
          </w:tcPr>
          <w:p>
            <w:pPr>
              <w:widowControl/>
              <w:jc w:val="center"/>
              <w:textAlignment w:val="top"/>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6.健康档案管理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（1）电子健康档案建档率=建立电子健康档案人数/辖区内常住居民数×100%</w:t>
            </w:r>
            <w:r>
              <w:rPr>
                <w:rFonts w:hint="eastAsia" w:eastAsia="仿宋_GB2312"/>
                <w:kern w:val="0"/>
                <w:sz w:val="24"/>
                <w:lang w:bidi="ar"/>
              </w:rPr>
              <w:t>；</w:t>
            </w:r>
          </w:p>
          <w:p>
            <w:pPr>
              <w:widowControl/>
              <w:textAlignment w:val="top"/>
              <w:rPr>
                <w:rFonts w:eastAsia="仿宋_GB2312"/>
                <w:kern w:val="0"/>
                <w:sz w:val="24"/>
                <w:lang w:bidi="ar"/>
              </w:rPr>
            </w:pPr>
            <w:r>
              <w:rPr>
                <w:rFonts w:eastAsia="仿宋_GB2312"/>
                <w:kern w:val="0"/>
                <w:sz w:val="24"/>
                <w:lang w:bidi="ar"/>
              </w:rPr>
              <w:t>（2）电子健康档案开放率=已开放并有开放标志的电子健康档案数/建立电子健康档案人数×100%。</w:t>
            </w:r>
            <w:r>
              <w:rPr>
                <w:rFonts w:eastAsia="仿宋_GB2312"/>
                <w:kern w:val="0"/>
                <w:sz w:val="24"/>
                <w:lang w:bidi="ar"/>
              </w:rPr>
              <w:br w:type="textWrapping"/>
            </w:r>
            <w:r>
              <w:rPr>
                <w:rFonts w:eastAsia="仿宋_GB2312"/>
                <w:kern w:val="0"/>
                <w:sz w:val="24"/>
                <w:lang w:bidi="ar"/>
              </w:rPr>
              <w:t>【数据来源】省卫生健康信息网络直报系统、电子健康档案系统。</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7.健康教育</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rPr>
                <w:rFonts w:eastAsia="仿宋_GB2312"/>
                <w:sz w:val="24"/>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sz w:val="24"/>
              </w:rPr>
              <w:t>计算发放健康教育印刷资料的数量和种类、播放健康教育音像资料的次数和种类、举办健康教育讲座和健康教育咨询活动参加人数、播放健康教育音像资料的时间和健康教育宣传栏设置个数。</w:t>
            </w:r>
          </w:p>
          <w:p>
            <w:pPr>
              <w:widowControl/>
              <w:textAlignment w:val="top"/>
              <w:rPr>
                <w:rFonts w:eastAsia="仿宋_GB2312"/>
                <w:kern w:val="0"/>
                <w:sz w:val="24"/>
                <w:lang w:bidi="ar"/>
              </w:rPr>
            </w:pPr>
            <w:r>
              <w:rPr>
                <w:rFonts w:eastAsia="仿宋_GB2312"/>
                <w:kern w:val="0"/>
                <w:sz w:val="24"/>
                <w:lang w:bidi="ar"/>
              </w:rPr>
              <w:t>【数据来源】省卫生健康信息网络直报系统、基层医疗卫生机构信息系统。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8.预防接种</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（1）乙肝疫苗第三针次接种率=年度辖区内乙肝疫苗第三针次实际接种人数/年度辖区内乙肝疫苗第三针次应接种人数×100%；</w:t>
            </w:r>
            <w:r>
              <w:rPr>
                <w:rFonts w:eastAsia="仿宋_GB2312"/>
                <w:kern w:val="0"/>
                <w:sz w:val="24"/>
                <w:lang w:bidi="ar"/>
              </w:rPr>
              <w:br w:type="textWrapping"/>
            </w:r>
            <w:r>
              <w:rPr>
                <w:rFonts w:eastAsia="仿宋_GB2312"/>
                <w:kern w:val="0"/>
                <w:sz w:val="24"/>
                <w:lang w:bidi="ar"/>
              </w:rPr>
              <w:t>（2）8月龄含麻类疫苗接种率=年度辖区内8月龄含麻类疫苗实际接种人数/年度辖区内8月龄含麻类疫苗应接种人数×100%。</w:t>
            </w:r>
            <w:r>
              <w:rPr>
                <w:rFonts w:eastAsia="仿宋_GB2312"/>
                <w:kern w:val="0"/>
                <w:sz w:val="24"/>
                <w:lang w:bidi="ar"/>
              </w:rPr>
              <w:br w:type="textWrapping"/>
            </w:r>
            <w:r>
              <w:rPr>
                <w:rFonts w:eastAsia="仿宋_GB2312"/>
                <w:kern w:val="0"/>
                <w:sz w:val="24"/>
                <w:lang w:bidi="ar"/>
              </w:rPr>
              <w:t>【数据来源】省卫生健康信息网络直报系统、免疫规划信息系统。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9.儿童健康管理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（1）新生儿访视率=年度辖区内按照规范要求接受1次及以上访视的新生儿人数/年度辖区内活产数×100%；</w:t>
            </w:r>
            <w:r>
              <w:rPr>
                <w:rFonts w:eastAsia="仿宋_GB2312"/>
                <w:kern w:val="0"/>
                <w:sz w:val="24"/>
                <w:lang w:bidi="ar"/>
              </w:rPr>
              <w:br w:type="textWrapping"/>
            </w:r>
            <w:r>
              <w:rPr>
                <w:rFonts w:eastAsia="仿宋_GB2312"/>
                <w:kern w:val="0"/>
                <w:sz w:val="24"/>
                <w:lang w:bidi="ar"/>
              </w:rPr>
              <w:t>（2）儿童健康管理率=年度辖区内接受1次及以上随访的0-6岁儿童数/年度辖区内0-6岁儿童数×100%。</w:t>
            </w:r>
            <w:r>
              <w:rPr>
                <w:rFonts w:eastAsia="仿宋_GB2312"/>
                <w:kern w:val="0"/>
                <w:sz w:val="24"/>
                <w:lang w:bidi="ar"/>
              </w:rPr>
              <w:br w:type="textWrapping"/>
            </w:r>
            <w:r>
              <w:rPr>
                <w:rFonts w:eastAsia="仿宋_GB2312"/>
                <w:kern w:val="0"/>
                <w:sz w:val="24"/>
                <w:lang w:bidi="ar"/>
              </w:rPr>
              <w:t>【数据来源】省卫生健康信息网络直报系统、妇幼管理信息系统。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10.孕产妇健康管理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（1）早孕建册率=辖区内孕13周之前建册并进行第一次产前检查的产妇人数/该地该时间内活产数×100%；</w:t>
            </w:r>
            <w:r>
              <w:rPr>
                <w:rFonts w:eastAsia="仿宋_GB2312"/>
                <w:kern w:val="0"/>
                <w:sz w:val="24"/>
                <w:lang w:bidi="ar"/>
              </w:rPr>
              <w:br w:type="textWrapping"/>
            </w:r>
            <w:r>
              <w:rPr>
                <w:rFonts w:eastAsia="仿宋_GB2312"/>
                <w:kern w:val="0"/>
                <w:sz w:val="24"/>
                <w:lang w:bidi="ar"/>
              </w:rPr>
              <w:t>（2）产后访视率=辖区内产妇出院后28天内接受过产后访视的产妇人数/该地该时间内活产数×100%。</w:t>
            </w:r>
            <w:r>
              <w:rPr>
                <w:rFonts w:eastAsia="仿宋_GB2312"/>
                <w:kern w:val="0"/>
                <w:sz w:val="24"/>
                <w:lang w:bidi="ar"/>
              </w:rPr>
              <w:br w:type="textWrapping"/>
            </w:r>
            <w:r>
              <w:rPr>
                <w:rFonts w:eastAsia="仿宋_GB2312"/>
                <w:kern w:val="0"/>
                <w:sz w:val="24"/>
                <w:lang w:bidi="ar"/>
              </w:rPr>
              <w:t>【数据来源】省卫生健康信息网络直报系统、妇幼管理信息系统。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11.老年人健康管理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（1）老年人健康管理率=年内接受健康管理65岁及以上老年人数/年内辖区内65岁及以上常住居民数×100%；</w:t>
            </w:r>
          </w:p>
          <w:p>
            <w:pPr>
              <w:widowControl/>
              <w:textAlignment w:val="top"/>
              <w:rPr>
                <w:rFonts w:eastAsia="仿宋_GB2312"/>
                <w:kern w:val="0"/>
                <w:sz w:val="24"/>
                <w:lang w:bidi="ar"/>
              </w:rPr>
            </w:pPr>
            <w:r>
              <w:rPr>
                <w:rFonts w:eastAsia="仿宋_GB2312"/>
                <w:kern w:val="0"/>
                <w:sz w:val="24"/>
                <w:lang w:bidi="ar"/>
              </w:rPr>
              <w:t>（2）重点人群结直肠癌筛查任务完成率=重点人群结直肠癌筛查实际完成数/重点人群结直肠癌筛查上报任务数×100%</w:t>
            </w:r>
            <w:r>
              <w:rPr>
                <w:rFonts w:hint="eastAsia" w:eastAsia="仿宋_GB2312"/>
                <w:kern w:val="0"/>
                <w:sz w:val="24"/>
                <w:lang w:bidi="ar"/>
              </w:rPr>
              <w:t>；</w:t>
            </w:r>
          </w:p>
          <w:p>
            <w:pPr>
              <w:widowControl/>
              <w:textAlignment w:val="top"/>
              <w:rPr>
                <w:rFonts w:eastAsia="仿宋_GB2312"/>
                <w:kern w:val="0"/>
                <w:sz w:val="24"/>
                <w:lang w:bidi="ar"/>
              </w:rPr>
            </w:pPr>
            <w:r>
              <w:rPr>
                <w:rFonts w:eastAsia="仿宋_GB2312"/>
                <w:kern w:val="0"/>
                <w:sz w:val="24"/>
                <w:lang w:bidi="ar"/>
              </w:rPr>
              <w:t>（3）重点人群结直肠癌筛查规范随访率=（筛查阴性者有至少1次随访记录+筛查阳性者完成结肠镜检查或有至少4次随访记录的人数）/重点人群结直肠癌筛查实际完成数×100%。</w:t>
            </w:r>
          </w:p>
          <w:p>
            <w:pPr>
              <w:widowControl/>
              <w:textAlignment w:val="top"/>
              <w:rPr>
                <w:rFonts w:eastAsia="仿宋_GB2312"/>
                <w:kern w:val="0"/>
                <w:sz w:val="24"/>
                <w:lang w:bidi="ar"/>
              </w:rPr>
            </w:pPr>
            <w:r>
              <w:rPr>
                <w:rFonts w:eastAsia="仿宋_GB2312"/>
                <w:kern w:val="0"/>
                <w:sz w:val="24"/>
                <w:lang w:bidi="ar"/>
              </w:rPr>
              <w:t>不承担重点人群结直肠癌筛查任务的机构不考核（2）（3）两项。</w:t>
            </w:r>
          </w:p>
          <w:p>
            <w:pPr>
              <w:widowControl/>
              <w:textAlignment w:val="top"/>
              <w:rPr>
                <w:rFonts w:eastAsia="仿宋_GB2312"/>
                <w:kern w:val="0"/>
                <w:sz w:val="24"/>
                <w:lang w:bidi="ar"/>
              </w:rPr>
            </w:pPr>
            <w:r>
              <w:rPr>
                <w:rFonts w:eastAsia="仿宋_GB2312"/>
                <w:kern w:val="0"/>
                <w:sz w:val="24"/>
                <w:lang w:bidi="ar"/>
              </w:rPr>
              <w:t>【数据来源】省卫生健康信息网络直报系统、电子健康档案系统、浙江省癌症筛查信息平台。</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12.高血压患者健康管理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rPr>
                <w:rFonts w:eastAsia="仿宋_GB2312"/>
                <w:sz w:val="24"/>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sz w:val="24"/>
              </w:rPr>
              <w:t>【计算方法】</w:t>
            </w:r>
          </w:p>
          <w:p>
            <w:pPr>
              <w:widowControl/>
              <w:rPr>
                <w:rFonts w:eastAsia="仿宋_GB2312"/>
                <w:sz w:val="24"/>
              </w:rPr>
            </w:pPr>
            <w:r>
              <w:rPr>
                <w:rFonts w:eastAsia="仿宋_GB2312"/>
                <w:sz w:val="24"/>
              </w:rPr>
              <w:t>（1）高血压患者规范管理率=按照规范要求进行高血压患者管理的人数/年内已管理高血压患者人数×100%；</w:t>
            </w:r>
          </w:p>
          <w:p>
            <w:pPr>
              <w:widowControl/>
              <w:rPr>
                <w:rFonts w:eastAsia="仿宋_GB2312"/>
                <w:sz w:val="24"/>
              </w:rPr>
            </w:pPr>
            <w:r>
              <w:rPr>
                <w:rFonts w:eastAsia="仿宋_GB2312"/>
                <w:sz w:val="24"/>
              </w:rPr>
              <w:t>（2）管理人群血压控制率=最近一次随访血压达标人数/年内已管理的高血压患者人数×100%。</w:t>
            </w:r>
          </w:p>
          <w:p>
            <w:pPr>
              <w:widowControl/>
              <w:textAlignment w:val="top"/>
              <w:rPr>
                <w:rFonts w:eastAsia="仿宋_GB2312"/>
                <w:kern w:val="0"/>
                <w:sz w:val="24"/>
                <w:lang w:bidi="ar"/>
              </w:rPr>
            </w:pPr>
            <w:r>
              <w:rPr>
                <w:rFonts w:eastAsia="仿宋_GB2312"/>
                <w:kern w:val="0"/>
                <w:sz w:val="24"/>
                <w:lang w:bidi="ar"/>
              </w:rPr>
              <w:t>【数据来源】省卫生健康信息网络直报系统、电子健康档案系统。</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13.糖尿病患者健康管理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rPr>
                <w:rFonts w:eastAsia="仿宋_GB2312"/>
                <w:sz w:val="24"/>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sz w:val="24"/>
              </w:rPr>
              <w:t>（1）2型糖尿病患者规范管理率=按照规范要求进行2型糖尿病患者健康管理的人数/年内已管理的2型糖尿病患者人数×100%；</w:t>
            </w:r>
          </w:p>
          <w:p>
            <w:pPr>
              <w:widowControl/>
              <w:rPr>
                <w:rFonts w:eastAsia="仿宋_GB2312"/>
                <w:sz w:val="24"/>
              </w:rPr>
            </w:pPr>
            <w:r>
              <w:rPr>
                <w:rFonts w:eastAsia="仿宋_GB2312"/>
                <w:sz w:val="24"/>
              </w:rPr>
              <w:t>（2）管理人群血糖控制率=年内最近一次随访空腹血糖达标人数/年内已管理的2型糖尿病患者人数×100%。</w:t>
            </w:r>
          </w:p>
          <w:p>
            <w:pPr>
              <w:widowControl/>
              <w:textAlignment w:val="top"/>
              <w:rPr>
                <w:rFonts w:eastAsia="仿宋_GB2312"/>
                <w:kern w:val="0"/>
                <w:sz w:val="24"/>
                <w:lang w:bidi="ar"/>
              </w:rPr>
            </w:pPr>
            <w:r>
              <w:rPr>
                <w:rFonts w:eastAsia="仿宋_GB2312"/>
                <w:kern w:val="0"/>
                <w:sz w:val="24"/>
                <w:lang w:bidi="ar"/>
              </w:rPr>
              <w:t>【数据来源】省卫生健康信息网络直报系统、电子健康档案系统。</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spacing w:val="-14"/>
                <w:kern w:val="0"/>
                <w:sz w:val="24"/>
                <w:lang w:bidi="ar"/>
              </w:rPr>
              <w:t>14.严重精神障碍患者管理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严重精神障碍患者规范管理率=年内辖区内按照规范要求进行管理的严重精神障碍患者人数/年内辖区内登记在册的确诊严重精神障碍患者人数×100%。</w:t>
            </w:r>
            <w:r>
              <w:rPr>
                <w:rFonts w:eastAsia="仿宋_GB2312"/>
                <w:kern w:val="0"/>
                <w:sz w:val="24"/>
                <w:lang w:bidi="ar"/>
              </w:rPr>
              <w:br w:type="textWrapping"/>
            </w:r>
            <w:r>
              <w:rPr>
                <w:rFonts w:eastAsia="仿宋_GB2312"/>
                <w:spacing w:val="9"/>
                <w:kern w:val="0"/>
                <w:sz w:val="24"/>
                <w:lang w:bidi="ar"/>
              </w:rPr>
              <w:t>【数据来源】省卫生健康信息网络直报系统、严重精神障碍患者管理信息系统。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15.结核病患者健康管理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（1）肺结核患者管理率=已管理的肺结核患者人数/辖区同期内经上级定点医疗机构确诊并通知基层医疗卫生机构管理的肺结核患者人数×100%；</w:t>
            </w:r>
            <w:r>
              <w:rPr>
                <w:rFonts w:eastAsia="仿宋_GB2312"/>
                <w:kern w:val="0"/>
                <w:sz w:val="24"/>
                <w:lang w:bidi="ar"/>
              </w:rPr>
              <w:br w:type="textWrapping"/>
            </w:r>
            <w:r>
              <w:rPr>
                <w:rFonts w:eastAsia="仿宋_GB2312"/>
                <w:kern w:val="0"/>
                <w:sz w:val="24"/>
                <w:lang w:bidi="ar"/>
              </w:rPr>
              <w:t>（2）肺结核患者规则服药率=按照要求规则服药的肺结核患者人数/辖区内同期已完成治疗的肺结核患者人数×100%。</w:t>
            </w:r>
            <w:r>
              <w:rPr>
                <w:rFonts w:eastAsia="仿宋_GB2312"/>
                <w:kern w:val="0"/>
                <w:sz w:val="24"/>
                <w:lang w:bidi="ar"/>
              </w:rPr>
              <w:br w:type="textWrapping"/>
            </w:r>
            <w:r>
              <w:rPr>
                <w:rFonts w:eastAsia="仿宋_GB2312"/>
                <w:kern w:val="0"/>
                <w:sz w:val="24"/>
                <w:lang w:bidi="ar"/>
              </w:rPr>
              <w:t>【数据来源】省卫生健康信息网络直报系统、结核病管理信息系统。</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16.传染病及突发公共卫生事件报告和处理</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（1）传染病疫情报告率=网络报告的传染病病例数/登记传染病病例数×100%；</w:t>
            </w:r>
            <w:r>
              <w:rPr>
                <w:rFonts w:eastAsia="仿宋_GB2312"/>
                <w:kern w:val="0"/>
                <w:sz w:val="24"/>
                <w:lang w:bidi="ar"/>
              </w:rPr>
              <w:br w:type="textWrapping"/>
            </w:r>
            <w:r>
              <w:rPr>
                <w:rFonts w:eastAsia="仿宋_GB2312"/>
                <w:kern w:val="0"/>
                <w:sz w:val="24"/>
                <w:lang w:bidi="ar"/>
              </w:rPr>
              <w:t>（2）传染病疫情报告及时率=报告及时的病例数/报告传染病病例数×100%；</w:t>
            </w:r>
            <w:r>
              <w:rPr>
                <w:rFonts w:eastAsia="仿宋_GB2312"/>
                <w:kern w:val="0"/>
                <w:sz w:val="24"/>
                <w:lang w:bidi="ar"/>
              </w:rPr>
              <w:br w:type="textWrapping"/>
            </w:r>
            <w:r>
              <w:rPr>
                <w:rFonts w:eastAsia="仿宋_GB2312"/>
                <w:kern w:val="0"/>
                <w:sz w:val="24"/>
                <w:lang w:bidi="ar"/>
              </w:rPr>
              <w:t>（3）突发公共卫生事件相关信息报告率=及时报告的突发公共卫生事件相关信息数/报告突发公共卫生事件相关信息数×100%。</w:t>
            </w:r>
            <w:r>
              <w:rPr>
                <w:rFonts w:eastAsia="仿宋_GB2312"/>
                <w:kern w:val="0"/>
                <w:sz w:val="24"/>
                <w:lang w:bidi="ar"/>
              </w:rPr>
              <w:br w:type="textWrapping"/>
            </w:r>
            <w:r>
              <w:rPr>
                <w:rFonts w:eastAsia="仿宋_GB2312"/>
                <w:kern w:val="0"/>
                <w:sz w:val="24"/>
                <w:lang w:bidi="ar"/>
              </w:rPr>
              <w:t>【数据来源】省卫生健康信息网络直报系统、</w:t>
            </w:r>
            <w:r>
              <w:rPr>
                <w:rFonts w:eastAsia="仿宋_GB2312"/>
                <w:sz w:val="24"/>
              </w:rPr>
              <w:t>中国疾病预防控制信息系统</w:t>
            </w:r>
            <w:r>
              <w:rPr>
                <w:rFonts w:eastAsia="仿宋_GB2312"/>
                <w:kern w:val="0"/>
                <w:sz w:val="24"/>
                <w:lang w:bidi="ar"/>
              </w:rPr>
              <w:t>。</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17.卫生监督协管</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kern w:val="0"/>
                <w:sz w:val="24"/>
                <w:lang w:bidi="ar"/>
              </w:rPr>
            </w:pPr>
            <w:r>
              <w:rPr>
                <w:rFonts w:eastAsia="仿宋_GB2312"/>
                <w:kern w:val="0"/>
                <w:sz w:val="24"/>
                <w:lang w:bidi="ar"/>
              </w:rPr>
              <w:t>按照《浙江省基本公共卫生服务规范（第四版）》和省、市、县（市、区）卫生健康行政部门规定的相关要求。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（1）卫生监督协管信息报告率=报告的事件或线索次数/发现的事件或线索次数×100%；</w:t>
            </w:r>
          </w:p>
          <w:p>
            <w:pPr>
              <w:widowControl/>
              <w:spacing w:line="320" w:lineRule="exact"/>
              <w:textAlignment w:val="top"/>
              <w:rPr>
                <w:rFonts w:eastAsia="仿宋_GB2312"/>
                <w:kern w:val="0"/>
                <w:sz w:val="24"/>
                <w:lang w:bidi="ar"/>
              </w:rPr>
            </w:pPr>
            <w:r>
              <w:rPr>
                <w:rFonts w:eastAsia="仿宋_GB2312"/>
                <w:kern w:val="0"/>
                <w:sz w:val="24"/>
                <w:lang w:bidi="ar"/>
              </w:rPr>
              <w:t>（2）依法执业自查次数=提交自查报告次数。</w:t>
            </w:r>
            <w:r>
              <w:rPr>
                <w:rFonts w:eastAsia="仿宋_GB2312"/>
                <w:kern w:val="0"/>
                <w:sz w:val="24"/>
                <w:lang w:bidi="ar"/>
              </w:rPr>
              <w:br w:type="textWrapping"/>
            </w:r>
            <w:r>
              <w:rPr>
                <w:rFonts w:eastAsia="仿宋_GB2312"/>
                <w:kern w:val="0"/>
                <w:sz w:val="24"/>
                <w:lang w:bidi="ar"/>
              </w:rPr>
              <w:t>【数据来源】省卫生健康信息网络直报系统、医疗机构自查自律系统、基层医疗卫生机构信息系统。</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kern w:val="0"/>
                <w:sz w:val="24"/>
                <w:lang w:bidi="ar"/>
              </w:rPr>
              <w:t>18.签约服务情况</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kern w:val="0"/>
                <w:sz w:val="24"/>
                <w:lang w:bidi="ar"/>
              </w:rPr>
            </w:pPr>
            <w:r>
              <w:rPr>
                <w:rFonts w:eastAsia="仿宋_GB2312"/>
                <w:kern w:val="0"/>
                <w:sz w:val="24"/>
                <w:lang w:bidi="ar"/>
              </w:rPr>
              <w:t>具体按照《浙江省家庭医生签约服务工作规范（2019版）》和省、市、县（市、区）卫生健康行政部门规定的相关要求。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（1）签约服务覆盖率=签约居民人数/当地常住人口数×100%；</w:t>
            </w:r>
            <w:r>
              <w:rPr>
                <w:rFonts w:eastAsia="仿宋_GB2312"/>
                <w:kern w:val="0"/>
                <w:sz w:val="24"/>
                <w:lang w:bidi="ar"/>
              </w:rPr>
              <w:br w:type="textWrapping"/>
            </w:r>
            <w:r>
              <w:rPr>
                <w:rFonts w:eastAsia="仿宋_GB2312"/>
                <w:kern w:val="0"/>
                <w:sz w:val="24"/>
                <w:lang w:bidi="ar"/>
              </w:rPr>
              <w:t>（2）重点人群签约服务覆盖率=签约家庭医生服务的重点人群数/重点人群数×100%；</w:t>
            </w:r>
            <w:r>
              <w:rPr>
                <w:rFonts w:eastAsia="仿宋_GB2312"/>
                <w:kern w:val="0"/>
                <w:sz w:val="24"/>
                <w:lang w:bidi="ar"/>
              </w:rPr>
              <w:br w:type="textWrapping"/>
            </w:r>
            <w:r>
              <w:rPr>
                <w:rFonts w:eastAsia="仿宋_GB2312"/>
                <w:kern w:val="0"/>
                <w:sz w:val="24"/>
                <w:lang w:bidi="ar"/>
              </w:rPr>
              <w:t>（3）签约居民续约率=一个签约服务周期结束后续签居民数/上一周期签约居民总人数×100%。</w:t>
            </w:r>
            <w:r>
              <w:rPr>
                <w:rFonts w:eastAsia="仿宋_GB2312"/>
                <w:kern w:val="0"/>
                <w:sz w:val="24"/>
                <w:lang w:bidi="ar"/>
              </w:rPr>
              <w:br w:type="textWrapping"/>
            </w:r>
            <w:r>
              <w:rPr>
                <w:rFonts w:eastAsia="仿宋_GB2312"/>
                <w:kern w:val="0"/>
                <w:sz w:val="24"/>
                <w:lang w:bidi="ar"/>
              </w:rPr>
              <w:t>【数据来源】电子健康档案系统、省卫生健康信息网络直报系统、“优质服务基层行活动”申报信息系统数据。</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19.“优质服务基层行”活动达到基本标准和推荐标准的机构数量</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定性</w:t>
            </w:r>
          </w:p>
        </w:tc>
        <w:tc>
          <w:tcPr>
            <w:tcW w:w="8120" w:type="dxa"/>
            <w:noWrap w:val="0"/>
            <w:vAlign w:val="center"/>
          </w:tcPr>
          <w:p>
            <w:pPr>
              <w:widowControl/>
              <w:textAlignment w:val="center"/>
              <w:rPr>
                <w:rFonts w:eastAsia="仿宋_GB2312"/>
                <w:kern w:val="0"/>
                <w:sz w:val="24"/>
                <w:lang w:bidi="ar"/>
              </w:rPr>
            </w:pPr>
            <w:r>
              <w:rPr>
                <w:rFonts w:eastAsia="仿宋_GB2312"/>
                <w:kern w:val="0"/>
                <w:sz w:val="24"/>
                <w:lang w:bidi="ar"/>
              </w:rPr>
              <w:t>（1）达到国家卫生健康委、国家中医药局“优质服务基层行”活动《乡镇卫生院能力标准》《社区卫生服务中心服务能力标准》中基本标准；</w:t>
            </w:r>
          </w:p>
          <w:p>
            <w:pPr>
              <w:widowControl/>
              <w:textAlignment w:val="center"/>
              <w:rPr>
                <w:rFonts w:eastAsia="仿宋_GB2312"/>
                <w:sz w:val="24"/>
              </w:rPr>
            </w:pPr>
            <w:r>
              <w:rPr>
                <w:rFonts w:eastAsia="仿宋_GB2312"/>
                <w:kern w:val="0"/>
                <w:sz w:val="24"/>
                <w:lang w:bidi="ar"/>
              </w:rPr>
              <w:t>（2）达到国家卫生健康委、国家中医药局“优质服务基层行”活动《乡镇卫生院能力标准》《社区卫生服务中心服务能力标准》中推荐标准。</w:t>
            </w:r>
            <w:r>
              <w:rPr>
                <w:rFonts w:eastAsia="仿宋_GB2312"/>
                <w:kern w:val="0"/>
                <w:sz w:val="24"/>
                <w:lang w:bidi="ar"/>
              </w:rPr>
              <w:br w:type="textWrapping"/>
            </w:r>
            <w:r>
              <w:rPr>
                <w:rFonts w:eastAsia="仿宋_GB2312"/>
                <w:kern w:val="0"/>
                <w:sz w:val="24"/>
                <w:lang w:bidi="ar"/>
              </w:rPr>
              <w:t>【数据来源】省级卫生健康行政部门</w:t>
            </w:r>
          </w:p>
        </w:tc>
        <w:tc>
          <w:tcPr>
            <w:tcW w:w="1487" w:type="dxa"/>
            <w:noWrap w:val="0"/>
            <w:tcMar>
              <w:left w:w="6" w:type="dxa"/>
              <w:right w:w="6" w:type="dxa"/>
            </w:tcMar>
            <w:vAlign w:val="center"/>
          </w:tcPr>
          <w:p>
            <w:pPr>
              <w:widowControl/>
              <w:jc w:val="center"/>
              <w:textAlignment w:val="center"/>
              <w:rPr>
                <w:rFonts w:eastAsia="仿宋_GB2312"/>
                <w:kern w:val="0"/>
                <w:sz w:val="24"/>
                <w:lang w:bidi="ar"/>
              </w:rPr>
            </w:pPr>
          </w:p>
          <w:p>
            <w:pPr>
              <w:widowControl/>
              <w:jc w:val="center"/>
              <w:textAlignment w:val="center"/>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（二）服务效率</w:t>
            </w:r>
          </w:p>
        </w:tc>
        <w:tc>
          <w:tcPr>
            <w:tcW w:w="1508" w:type="dxa"/>
            <w:noWrap w:val="0"/>
            <w:vAlign w:val="center"/>
          </w:tcPr>
          <w:p>
            <w:pPr>
              <w:widowControl/>
              <w:textAlignment w:val="center"/>
              <w:rPr>
                <w:rFonts w:eastAsia="仿宋_GB2312"/>
                <w:sz w:val="24"/>
              </w:rPr>
            </w:pPr>
            <w:r>
              <w:rPr>
                <w:rFonts w:eastAsia="仿宋_GB2312"/>
                <w:kern w:val="0"/>
                <w:sz w:val="24"/>
                <w:lang w:bidi="ar"/>
              </w:rPr>
              <w:t>20.医师/职工平均担负诊疗人次</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具体按照省、市、县（市、区）规定的相关要求。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（1）医师日均担负诊疗人次=诊疗人次数/平均医师人数/251</w:t>
            </w:r>
            <w:r>
              <w:rPr>
                <w:rFonts w:hint="eastAsia" w:eastAsia="仿宋_GB2312"/>
                <w:kern w:val="0"/>
                <w:sz w:val="24"/>
                <w:lang w:bidi="ar"/>
              </w:rPr>
              <w:t>；</w:t>
            </w:r>
          </w:p>
          <w:p>
            <w:pPr>
              <w:widowControl/>
              <w:textAlignment w:val="top"/>
              <w:rPr>
                <w:rFonts w:eastAsia="仿宋_GB2312"/>
                <w:sz w:val="24"/>
              </w:rPr>
            </w:pPr>
            <w:r>
              <w:rPr>
                <w:rFonts w:eastAsia="仿宋_GB2312"/>
                <w:kern w:val="0"/>
                <w:sz w:val="24"/>
                <w:lang w:bidi="ar"/>
              </w:rPr>
              <w:t>（2）职工年平均担负门急诊人次=门急诊人次数/在岗职工数×100%。</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p>
            <w:pPr>
              <w:widowControl/>
              <w:jc w:val="center"/>
              <w:textAlignment w:val="top"/>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kern w:val="0"/>
                <w:sz w:val="24"/>
                <w:lang w:bidi="ar"/>
              </w:rPr>
            </w:pPr>
            <w:r>
              <w:rPr>
                <w:rFonts w:eastAsia="仿宋_GB2312"/>
                <w:spacing w:val="-14"/>
                <w:kern w:val="0"/>
                <w:sz w:val="24"/>
                <w:lang w:bidi="ar"/>
              </w:rPr>
              <w:t>21.医师日均担负住院床日</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spacing w:val="-6"/>
                <w:kern w:val="0"/>
                <w:sz w:val="24"/>
                <w:lang w:bidi="ar"/>
              </w:rPr>
              <w:t>具体按照省、市、县（市、区）规定的相关要求，没有病床的机构不考核此项。</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医师日均担负住院床日=实际占用总床日数/平均医师人数/365。</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jc w:val="distribute"/>
              <w:textAlignment w:val="center"/>
              <w:rPr>
                <w:rFonts w:eastAsia="仿宋_GB2312"/>
                <w:kern w:val="0"/>
                <w:sz w:val="24"/>
                <w:lang w:bidi="ar"/>
              </w:rPr>
            </w:pPr>
            <w:r>
              <w:rPr>
                <w:rFonts w:eastAsia="仿宋_GB2312"/>
                <w:spacing w:val="-20"/>
                <w:kern w:val="0"/>
                <w:sz w:val="24"/>
                <w:lang w:bidi="ar"/>
              </w:rPr>
              <w:t>22.病床使用率</w:t>
            </w:r>
          </w:p>
        </w:tc>
        <w:tc>
          <w:tcPr>
            <w:tcW w:w="1250" w:type="dxa"/>
            <w:noWrap w:val="0"/>
            <w:vAlign w:val="center"/>
          </w:tcPr>
          <w:p>
            <w:pPr>
              <w:widowControl/>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spacing w:val="-6"/>
                <w:kern w:val="0"/>
                <w:sz w:val="24"/>
                <w:lang w:bidi="ar"/>
              </w:rPr>
              <w:t>具体按照省、市、县（市、区）规定的相关要求，没有病床的机构不考核此项。</w:t>
            </w:r>
            <w:r>
              <w:rPr>
                <w:rFonts w:eastAsia="仿宋_GB2312"/>
                <w:spacing w:val="-6"/>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病床使用率=实际占用总床日数/实际开放总床日数×100%。</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jc w:val="distribute"/>
              <w:textAlignment w:val="center"/>
              <w:rPr>
                <w:rFonts w:eastAsia="仿宋_GB2312"/>
                <w:kern w:val="0"/>
                <w:sz w:val="24"/>
                <w:lang w:bidi="ar"/>
              </w:rPr>
            </w:pPr>
            <w:r>
              <w:rPr>
                <w:rFonts w:eastAsia="仿宋_GB2312"/>
                <w:spacing w:val="-20"/>
                <w:kern w:val="0"/>
                <w:sz w:val="24"/>
                <w:lang w:bidi="ar"/>
              </w:rPr>
              <w:t>23.平均住院日</w:t>
            </w:r>
          </w:p>
        </w:tc>
        <w:tc>
          <w:tcPr>
            <w:tcW w:w="1250" w:type="dxa"/>
            <w:noWrap w:val="0"/>
            <w:vAlign w:val="center"/>
          </w:tcPr>
          <w:p>
            <w:pPr>
              <w:widowControl/>
              <w:spacing w:line="340" w:lineRule="exact"/>
              <w:jc w:val="center"/>
              <w:textAlignment w:val="center"/>
              <w:rPr>
                <w:rFonts w:eastAsia="仿宋_GB2312"/>
                <w:kern w:val="0"/>
                <w:sz w:val="24"/>
                <w:lang w:bidi="ar"/>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kern w:val="0"/>
                <w:sz w:val="24"/>
                <w:lang w:bidi="ar"/>
              </w:rPr>
            </w:pPr>
            <w:r>
              <w:rPr>
                <w:rFonts w:eastAsia="仿宋_GB2312"/>
                <w:spacing w:val="-6"/>
                <w:kern w:val="0"/>
                <w:sz w:val="24"/>
                <w:lang w:bidi="ar"/>
              </w:rPr>
              <w:t>具体按照省、市、县（市、区）规定的相关要求，没有病床的机构不考核此项。</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平均住院日=同期出院者占用总床日/年度出院人数。</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jc w:val="center"/>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24.每万服务人口基本公共卫生服务当量</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kern w:val="0"/>
                <w:sz w:val="24"/>
                <w:lang w:bidi="ar"/>
              </w:rPr>
            </w:pPr>
            <w:r>
              <w:rPr>
                <w:rFonts w:eastAsia="仿宋_GB2312"/>
                <w:kern w:val="0"/>
                <w:sz w:val="24"/>
                <w:lang w:bidi="ar"/>
              </w:rPr>
              <w:t>具体按照本省、市、县（市、区）规定的相关要求。</w:t>
            </w:r>
          </w:p>
          <w:p>
            <w:pPr>
              <w:widowControl/>
              <w:spacing w:line="340" w:lineRule="exact"/>
              <w:textAlignment w:val="top"/>
              <w:rPr>
                <w:rFonts w:eastAsia="仿宋_GB2312"/>
                <w:sz w:val="24"/>
              </w:rPr>
            </w:pP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每万人服务基本公共卫生服务当量=辖区基本公共卫生服务总当量/辖区内常住居民数×10000</w:t>
            </w:r>
            <w:r>
              <w:rPr>
                <w:rFonts w:hint="eastAsia" w:eastAsia="仿宋_GB2312"/>
                <w:kern w:val="0"/>
                <w:sz w:val="24"/>
                <w:lang w:bidi="ar"/>
              </w:rPr>
              <w:t>。</w:t>
            </w:r>
            <w:r>
              <w:rPr>
                <w:rFonts w:eastAsia="仿宋_GB2312"/>
                <w:kern w:val="0"/>
                <w:sz w:val="24"/>
                <w:lang w:bidi="ar"/>
              </w:rPr>
              <w:br w:type="textWrapping"/>
            </w:r>
            <w:r>
              <w:rPr>
                <w:rFonts w:eastAsia="仿宋_GB2312"/>
                <w:kern w:val="0"/>
                <w:sz w:val="24"/>
                <w:lang w:bidi="ar"/>
              </w:rPr>
              <w:t>【数据来源】基层医疗卫生机构补偿机制改革绩效考核系统。</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（三）质量与安全</w:t>
            </w: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25.基本药物使用情况</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（1）基本药物采购品种比例=医疗卫生机构采购基本药物品种数/医疗卫生机构同期采购药物品种总数×100%；</w:t>
            </w:r>
            <w:r>
              <w:rPr>
                <w:rFonts w:eastAsia="仿宋_GB2312"/>
                <w:kern w:val="0"/>
                <w:sz w:val="24"/>
                <w:lang w:bidi="ar"/>
              </w:rPr>
              <w:br w:type="textWrapping"/>
            </w:r>
            <w:r>
              <w:rPr>
                <w:rFonts w:eastAsia="仿宋_GB2312"/>
                <w:kern w:val="0"/>
                <w:sz w:val="24"/>
                <w:lang w:bidi="ar"/>
              </w:rPr>
              <w:t>（2）基本药物采购金额比例=医疗卫生机构采购基本药物金额数/医疗卫生机构同期采购药物金额总数×100%。</w:t>
            </w:r>
            <w:r>
              <w:rPr>
                <w:rFonts w:eastAsia="仿宋_GB2312"/>
                <w:kern w:val="0"/>
                <w:sz w:val="24"/>
                <w:lang w:bidi="ar"/>
              </w:rPr>
              <w:br w:type="textWrapping"/>
            </w:r>
            <w:r>
              <w:rPr>
                <w:rFonts w:eastAsia="仿宋_GB2312"/>
                <w:kern w:val="0"/>
                <w:sz w:val="24"/>
                <w:lang w:bidi="ar"/>
              </w:rPr>
              <w:t>【数据来源】省级药品集中采购平台或其他数据来源。</w:t>
            </w:r>
          </w:p>
        </w:tc>
        <w:tc>
          <w:tcPr>
            <w:tcW w:w="1487" w:type="dxa"/>
            <w:noWrap w:val="0"/>
            <w:tcMar>
              <w:left w:w="6" w:type="dxa"/>
              <w:right w:w="6" w:type="dxa"/>
            </w:tcMar>
            <w:vAlign w:val="center"/>
          </w:tcPr>
          <w:p>
            <w:pPr>
              <w:widowControl/>
              <w:jc w:val="center"/>
              <w:textAlignment w:val="top"/>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26.抗菌药物处方比例</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抗菌药物处方比例=含有抗菌药物处方数/抽查处方总数×100%。</w:t>
            </w:r>
            <w:r>
              <w:rPr>
                <w:rFonts w:eastAsia="仿宋_GB2312"/>
                <w:kern w:val="0"/>
                <w:sz w:val="24"/>
                <w:lang w:bidi="ar"/>
              </w:rPr>
              <w:br w:type="textWrapping"/>
            </w:r>
            <w:r>
              <w:rPr>
                <w:rFonts w:eastAsia="仿宋_GB2312"/>
                <w:kern w:val="0"/>
                <w:sz w:val="24"/>
                <w:lang w:bidi="ar"/>
              </w:rPr>
              <w:t>【数据来源】县（市、区）卫生健康行政部门。</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27.静脉注射剂使用比例</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静脉注射剂使用比例=含有静脉注射剂处方数/抽查处方总数×100%。</w:t>
            </w:r>
            <w:r>
              <w:rPr>
                <w:rFonts w:eastAsia="仿宋_GB2312"/>
                <w:kern w:val="0"/>
                <w:sz w:val="24"/>
                <w:lang w:bidi="ar"/>
              </w:rPr>
              <w:br w:type="textWrapping"/>
            </w:r>
            <w:r>
              <w:rPr>
                <w:rFonts w:eastAsia="仿宋_GB2312"/>
                <w:kern w:val="0"/>
                <w:sz w:val="24"/>
                <w:lang w:bidi="ar"/>
              </w:rPr>
              <w:t>【数据来源】县（市、区）卫生健康行政部门。</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28.院内感染管理</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定性</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（1）一次性医疗物品管理落实情况；</w:t>
            </w:r>
            <w:r>
              <w:rPr>
                <w:rFonts w:eastAsia="仿宋_GB2312"/>
                <w:kern w:val="0"/>
                <w:sz w:val="24"/>
                <w:lang w:bidi="ar"/>
              </w:rPr>
              <w:br w:type="textWrapping"/>
            </w:r>
            <w:r>
              <w:rPr>
                <w:rFonts w:eastAsia="仿宋_GB2312"/>
                <w:kern w:val="0"/>
                <w:sz w:val="24"/>
                <w:lang w:bidi="ar"/>
              </w:rPr>
              <w:t>（2）医疗废弃物处理合规情况；</w:t>
            </w:r>
            <w:r>
              <w:rPr>
                <w:rFonts w:eastAsia="仿宋_GB2312"/>
                <w:kern w:val="0"/>
                <w:sz w:val="24"/>
                <w:lang w:bidi="ar"/>
              </w:rPr>
              <w:br w:type="textWrapping"/>
            </w:r>
            <w:r>
              <w:rPr>
                <w:rFonts w:eastAsia="仿宋_GB2312"/>
                <w:kern w:val="0"/>
                <w:sz w:val="24"/>
                <w:lang w:bidi="ar"/>
              </w:rPr>
              <w:t>（3）消毒隔离措施落实情况；</w:t>
            </w:r>
            <w:r>
              <w:rPr>
                <w:rFonts w:eastAsia="仿宋_GB2312"/>
                <w:kern w:val="0"/>
                <w:sz w:val="24"/>
                <w:lang w:bidi="ar"/>
              </w:rPr>
              <w:br w:type="textWrapping"/>
            </w:r>
            <w:r>
              <w:rPr>
                <w:rFonts w:eastAsia="仿宋_GB2312"/>
                <w:kern w:val="0"/>
                <w:sz w:val="24"/>
                <w:lang w:bidi="ar"/>
              </w:rPr>
              <w:t>（4）无菌技术操作执行情况。</w:t>
            </w:r>
            <w:r>
              <w:rPr>
                <w:rFonts w:eastAsia="仿宋_GB2312"/>
                <w:kern w:val="0"/>
                <w:sz w:val="24"/>
                <w:lang w:bidi="ar"/>
              </w:rPr>
              <w:br w:type="textWrapping"/>
            </w:r>
            <w:r>
              <w:rPr>
                <w:rFonts w:eastAsia="仿宋_GB2312"/>
                <w:kern w:val="0"/>
                <w:sz w:val="24"/>
                <w:lang w:bidi="ar"/>
              </w:rPr>
              <w:t>【数据来源】“优质服务基层行”活动申报信息系统数据或其他数据来源。</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29.医疗纠纷处理</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定性</w:t>
            </w:r>
          </w:p>
        </w:tc>
        <w:tc>
          <w:tcPr>
            <w:tcW w:w="8120" w:type="dxa"/>
            <w:noWrap w:val="0"/>
            <w:vAlign w:val="center"/>
          </w:tcPr>
          <w:p>
            <w:pPr>
              <w:widowControl/>
              <w:spacing w:line="340" w:lineRule="exact"/>
              <w:textAlignment w:val="center"/>
              <w:rPr>
                <w:rFonts w:eastAsia="仿宋_GB2312"/>
                <w:sz w:val="24"/>
              </w:rPr>
            </w:pPr>
            <w:r>
              <w:rPr>
                <w:rFonts w:eastAsia="仿宋_GB2312"/>
                <w:kern w:val="0"/>
                <w:sz w:val="24"/>
                <w:lang w:bidi="ar"/>
              </w:rPr>
              <w:t>按照有关法律、法规要求，预防、处理医疗纠纷。</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kern w:val="0"/>
                <w:sz w:val="24"/>
                <w:lang w:bidi="ar"/>
              </w:rPr>
            </w:pPr>
            <w:r>
              <w:rPr>
                <w:rFonts w:eastAsia="仿宋_GB2312"/>
                <w:kern w:val="0"/>
                <w:sz w:val="24"/>
                <w:lang w:bidi="ar"/>
              </w:rPr>
              <w:t>30.脑卒中报告发病率</w:t>
            </w:r>
          </w:p>
        </w:tc>
        <w:tc>
          <w:tcPr>
            <w:tcW w:w="1250" w:type="dxa"/>
            <w:noWrap w:val="0"/>
            <w:vAlign w:val="center"/>
          </w:tcPr>
          <w:p>
            <w:pPr>
              <w:widowControl/>
              <w:spacing w:line="340" w:lineRule="exact"/>
              <w:jc w:val="center"/>
              <w:rPr>
                <w:rFonts w:eastAsia="仿宋_GB2312"/>
                <w:sz w:val="24"/>
              </w:rPr>
            </w:pPr>
            <w:r>
              <w:rPr>
                <w:rFonts w:eastAsia="仿宋_GB2312"/>
                <w:sz w:val="24"/>
              </w:rPr>
              <w:t>定量</w:t>
            </w:r>
          </w:p>
        </w:tc>
        <w:tc>
          <w:tcPr>
            <w:tcW w:w="8120" w:type="dxa"/>
            <w:noWrap w:val="0"/>
            <w:vAlign w:val="center"/>
          </w:tcPr>
          <w:p>
            <w:pPr>
              <w:widowControl/>
              <w:spacing w:line="340" w:lineRule="exact"/>
              <w:rPr>
                <w:rFonts w:eastAsia="仿宋_GB2312"/>
                <w:sz w:val="24"/>
              </w:rPr>
            </w:pPr>
            <w:r>
              <w:rPr>
                <w:rFonts w:eastAsia="仿宋_GB2312"/>
                <w:kern w:val="0"/>
                <w:sz w:val="24"/>
                <w:lang w:bidi="ar"/>
              </w:rPr>
              <w:t>具体按照</w:t>
            </w:r>
            <w:r>
              <w:rPr>
                <w:rFonts w:eastAsia="仿宋_GB2312"/>
                <w:sz w:val="24"/>
              </w:rPr>
              <w:t>本省、市、县（市、区）规定的相关要求。</w:t>
            </w:r>
            <w:r>
              <w:rPr>
                <w:rFonts w:eastAsia="仿宋_GB2312"/>
                <w:kern w:val="0"/>
                <w:sz w:val="24"/>
                <w:lang w:bidi="ar"/>
              </w:rPr>
              <w:t>该指标仅作为省、市对县监测指标，对基层医疗卫生机构不考核。</w:t>
            </w:r>
          </w:p>
          <w:p>
            <w:pPr>
              <w:widowControl/>
              <w:spacing w:line="340" w:lineRule="exact"/>
              <w:rPr>
                <w:rFonts w:eastAsia="仿宋_GB2312"/>
                <w:sz w:val="24"/>
              </w:rPr>
            </w:pPr>
            <w:r>
              <w:rPr>
                <w:rFonts w:eastAsia="仿宋_GB2312"/>
                <w:sz w:val="24"/>
              </w:rPr>
              <w:t>【计算方法】</w:t>
            </w:r>
          </w:p>
          <w:p>
            <w:pPr>
              <w:widowControl/>
              <w:spacing w:line="340" w:lineRule="exact"/>
              <w:rPr>
                <w:rFonts w:eastAsia="仿宋_GB2312"/>
                <w:sz w:val="24"/>
              </w:rPr>
            </w:pPr>
            <w:r>
              <w:rPr>
                <w:rFonts w:eastAsia="仿宋_GB2312"/>
                <w:sz w:val="24"/>
              </w:rPr>
              <w:t>脑卒中报告发病率=辖区一年内新发脑卒中病人数/同期平均人口数×100%。</w:t>
            </w:r>
          </w:p>
          <w:p>
            <w:pPr>
              <w:widowControl/>
              <w:spacing w:line="340" w:lineRule="exact"/>
              <w:rPr>
                <w:rFonts w:eastAsia="仿宋_GB2312"/>
                <w:sz w:val="24"/>
              </w:rPr>
            </w:pPr>
            <w:r>
              <w:rPr>
                <w:rFonts w:eastAsia="仿宋_GB2312"/>
                <w:sz w:val="24"/>
              </w:rPr>
              <w:t>【数据来源】浙江省慢性病监测信息管理系统 。</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p>
            <w:pPr>
              <w:widowControl/>
              <w:jc w:val="center"/>
              <w:textAlignment w:val="top"/>
              <w:rPr>
                <w:rFonts w:eastAsia="仿宋_GB2312"/>
                <w:sz w:val="24"/>
              </w:rPr>
            </w:pPr>
            <w:r>
              <w:rPr>
                <w:rFonts w:eastAsia="仿宋_GB2312"/>
                <w:kern w:val="0"/>
                <w:sz w:val="24"/>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jc w:val="distribute"/>
              <w:textAlignment w:val="center"/>
              <w:rPr>
                <w:rFonts w:eastAsia="仿宋_GB2312"/>
                <w:kern w:val="0"/>
                <w:sz w:val="24"/>
                <w:lang w:bidi="ar"/>
              </w:rPr>
            </w:pPr>
            <w:r>
              <w:rPr>
                <w:rFonts w:eastAsia="仿宋_GB2312"/>
                <w:spacing w:val="-20"/>
                <w:kern w:val="0"/>
                <w:sz w:val="24"/>
                <w:lang w:bidi="ar"/>
              </w:rPr>
              <w:t>31.疫苗针对性疾病发病率</w:t>
            </w:r>
          </w:p>
        </w:tc>
        <w:tc>
          <w:tcPr>
            <w:tcW w:w="1250" w:type="dxa"/>
            <w:noWrap w:val="0"/>
            <w:vAlign w:val="center"/>
          </w:tcPr>
          <w:p>
            <w:pPr>
              <w:widowControl/>
              <w:spacing w:line="340" w:lineRule="exact"/>
              <w:jc w:val="center"/>
              <w:rPr>
                <w:rFonts w:eastAsia="仿宋_GB2312"/>
                <w:sz w:val="24"/>
              </w:rPr>
            </w:pPr>
            <w:r>
              <w:rPr>
                <w:rFonts w:eastAsia="仿宋_GB2312"/>
                <w:sz w:val="24"/>
              </w:rPr>
              <w:t>定量</w:t>
            </w:r>
          </w:p>
        </w:tc>
        <w:tc>
          <w:tcPr>
            <w:tcW w:w="8120" w:type="dxa"/>
            <w:noWrap w:val="0"/>
            <w:vAlign w:val="center"/>
          </w:tcPr>
          <w:p>
            <w:pPr>
              <w:widowControl/>
              <w:spacing w:line="340" w:lineRule="exact"/>
              <w:rPr>
                <w:rFonts w:eastAsia="仿宋_GB2312"/>
                <w:sz w:val="24"/>
              </w:rPr>
            </w:pPr>
            <w:r>
              <w:rPr>
                <w:rFonts w:eastAsia="仿宋_GB2312"/>
                <w:kern w:val="0"/>
                <w:sz w:val="24"/>
                <w:lang w:bidi="ar"/>
              </w:rPr>
              <w:t>具体按照</w:t>
            </w:r>
            <w:r>
              <w:rPr>
                <w:rFonts w:eastAsia="仿宋_GB2312"/>
                <w:sz w:val="24"/>
              </w:rPr>
              <w:t>本省、市、县（市、区）规定的相关要求。</w:t>
            </w:r>
            <w:r>
              <w:rPr>
                <w:rFonts w:eastAsia="仿宋_GB2312"/>
                <w:kern w:val="0"/>
                <w:sz w:val="24"/>
                <w:lang w:bidi="ar"/>
              </w:rPr>
              <w:t>该指标仅作为省、市对县监测指标，对基层医疗卫生机构不考核。</w:t>
            </w:r>
          </w:p>
          <w:p>
            <w:pPr>
              <w:widowControl/>
              <w:spacing w:line="340" w:lineRule="exact"/>
              <w:rPr>
                <w:rFonts w:eastAsia="仿宋_GB2312"/>
                <w:sz w:val="24"/>
              </w:rPr>
            </w:pPr>
            <w:r>
              <w:rPr>
                <w:rFonts w:eastAsia="仿宋_GB2312"/>
                <w:sz w:val="24"/>
              </w:rPr>
              <w:t>【计算方法】</w:t>
            </w:r>
          </w:p>
          <w:p>
            <w:pPr>
              <w:widowControl/>
              <w:spacing w:line="340" w:lineRule="exact"/>
              <w:rPr>
                <w:rFonts w:eastAsia="仿宋_GB2312"/>
                <w:sz w:val="24"/>
              </w:rPr>
            </w:pPr>
            <w:r>
              <w:rPr>
                <w:rFonts w:eastAsia="仿宋_GB2312"/>
                <w:sz w:val="24"/>
              </w:rPr>
              <w:t>疫苗针对性传染病发病率=免疫规划疫苗针对性疾病发病数/辖区内常住居民数×100%。</w:t>
            </w:r>
          </w:p>
          <w:p>
            <w:pPr>
              <w:widowControl/>
              <w:spacing w:line="340" w:lineRule="exact"/>
              <w:rPr>
                <w:rFonts w:eastAsia="仿宋_GB2312"/>
                <w:sz w:val="24"/>
              </w:rPr>
            </w:pPr>
            <w:r>
              <w:rPr>
                <w:rFonts w:eastAsia="仿宋_GB2312"/>
                <w:sz w:val="24"/>
              </w:rPr>
              <w:t>【数据来源】中国疾病预防控制信息系统。</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kern w:val="0"/>
                <w:sz w:val="24"/>
                <w:lang w:bidi="ar"/>
              </w:rPr>
            </w:pPr>
            <w:r>
              <w:rPr>
                <w:rFonts w:eastAsia="仿宋_GB2312"/>
                <w:kern w:val="0"/>
                <w:sz w:val="24"/>
                <w:lang w:bidi="ar"/>
              </w:rPr>
              <w:t>32.居民健康素养水平</w:t>
            </w:r>
          </w:p>
        </w:tc>
        <w:tc>
          <w:tcPr>
            <w:tcW w:w="1250" w:type="dxa"/>
            <w:noWrap w:val="0"/>
            <w:vAlign w:val="center"/>
          </w:tcPr>
          <w:p>
            <w:pPr>
              <w:widowControl/>
              <w:spacing w:line="340" w:lineRule="exact"/>
              <w:jc w:val="center"/>
              <w:rPr>
                <w:rFonts w:eastAsia="仿宋_GB2312"/>
                <w:sz w:val="24"/>
              </w:rPr>
            </w:pPr>
            <w:r>
              <w:rPr>
                <w:rFonts w:eastAsia="仿宋_GB2312"/>
                <w:sz w:val="24"/>
              </w:rPr>
              <w:t>定量</w:t>
            </w:r>
          </w:p>
        </w:tc>
        <w:tc>
          <w:tcPr>
            <w:tcW w:w="8120" w:type="dxa"/>
            <w:noWrap w:val="0"/>
            <w:vAlign w:val="center"/>
          </w:tcPr>
          <w:p>
            <w:pPr>
              <w:widowControl/>
              <w:spacing w:line="340" w:lineRule="exact"/>
              <w:rPr>
                <w:rFonts w:eastAsia="仿宋_GB2312"/>
                <w:sz w:val="24"/>
              </w:rPr>
            </w:pPr>
            <w:r>
              <w:rPr>
                <w:rFonts w:eastAsia="仿宋_GB2312"/>
                <w:kern w:val="0"/>
                <w:sz w:val="24"/>
                <w:lang w:bidi="ar"/>
              </w:rPr>
              <w:t>具体按照</w:t>
            </w:r>
            <w:r>
              <w:rPr>
                <w:rFonts w:eastAsia="仿宋_GB2312"/>
                <w:sz w:val="24"/>
              </w:rPr>
              <w:t>本省、市、县（市、区）规定的相关要求。</w:t>
            </w:r>
            <w:r>
              <w:rPr>
                <w:rFonts w:eastAsia="仿宋_GB2312"/>
                <w:kern w:val="0"/>
                <w:sz w:val="24"/>
                <w:lang w:bidi="ar"/>
              </w:rPr>
              <w:t>该指标仅作为省、市对县监测指标，对基层医疗卫生机构不考核。</w:t>
            </w:r>
          </w:p>
          <w:p>
            <w:pPr>
              <w:widowControl/>
              <w:spacing w:line="340" w:lineRule="exact"/>
              <w:rPr>
                <w:rFonts w:eastAsia="仿宋_GB2312"/>
                <w:sz w:val="24"/>
              </w:rPr>
            </w:pPr>
            <w:r>
              <w:rPr>
                <w:rFonts w:eastAsia="仿宋_GB2312"/>
                <w:sz w:val="24"/>
              </w:rPr>
              <w:t>【计算方法】</w:t>
            </w:r>
          </w:p>
          <w:p>
            <w:pPr>
              <w:widowControl/>
              <w:spacing w:line="340" w:lineRule="exact"/>
              <w:rPr>
                <w:rFonts w:eastAsia="仿宋_GB2312"/>
                <w:sz w:val="24"/>
              </w:rPr>
            </w:pPr>
            <w:r>
              <w:rPr>
                <w:rFonts w:eastAsia="仿宋_GB2312"/>
                <w:sz w:val="24"/>
              </w:rPr>
              <w:t>居民健康素养水平=具备基本健康素养的人数/辖区内15～69岁常住居民数×100%。</w:t>
            </w:r>
          </w:p>
          <w:p>
            <w:pPr>
              <w:widowControl/>
              <w:spacing w:line="340" w:lineRule="exact"/>
              <w:rPr>
                <w:rFonts w:eastAsia="仿宋_GB2312"/>
                <w:sz w:val="24"/>
              </w:rPr>
            </w:pPr>
            <w:r>
              <w:rPr>
                <w:rFonts w:eastAsia="仿宋_GB2312"/>
                <w:sz w:val="24"/>
              </w:rPr>
              <w:t>【数据来源】浙江省疾控中心专项调查结果。</w:t>
            </w:r>
          </w:p>
        </w:tc>
        <w:tc>
          <w:tcPr>
            <w:tcW w:w="1487" w:type="dxa"/>
            <w:noWrap w:val="0"/>
            <w:tcMar>
              <w:left w:w="6" w:type="dxa"/>
              <w:right w:w="6" w:type="dxa"/>
            </w:tcMar>
            <w:vAlign w:val="center"/>
          </w:tcPr>
          <w:p>
            <w:pPr>
              <w:widowControl/>
              <w:jc w:val="center"/>
              <w:textAlignment w:val="center"/>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textAlignment w:val="center"/>
              <w:rPr>
                <w:rFonts w:eastAsia="仿宋_GB2312"/>
                <w:sz w:val="24"/>
              </w:rPr>
            </w:pPr>
            <w:r>
              <w:rPr>
                <w:rFonts w:eastAsia="仿宋_GB2312"/>
                <w:kern w:val="0"/>
                <w:sz w:val="24"/>
                <w:lang w:bidi="ar"/>
              </w:rPr>
              <w:t>二、综合管理</w:t>
            </w: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（四）经济管理</w:t>
            </w: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33.门急诊次均费用</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w:t>
            </w:r>
            <w:r>
              <w:rPr>
                <w:rFonts w:eastAsia="仿宋_GB2312"/>
                <w:sz w:val="24"/>
              </w:rPr>
              <w:t>、市、县（市、区）</w:t>
            </w:r>
            <w:r>
              <w:rPr>
                <w:rFonts w:eastAsia="仿宋_GB2312"/>
                <w:kern w:val="0"/>
                <w:sz w:val="24"/>
                <w:lang w:bidi="ar"/>
              </w:rPr>
              <w:t>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（1）门急诊次均费用=门急诊收入/年门急诊人次数；</w:t>
            </w:r>
            <w:r>
              <w:rPr>
                <w:rFonts w:eastAsia="仿宋_GB2312"/>
                <w:kern w:val="0"/>
                <w:sz w:val="24"/>
                <w:lang w:bidi="ar"/>
              </w:rPr>
              <w:br w:type="textWrapping"/>
            </w:r>
            <w:r>
              <w:rPr>
                <w:rFonts w:eastAsia="仿宋_GB2312"/>
                <w:kern w:val="0"/>
                <w:sz w:val="24"/>
                <w:lang w:bidi="ar"/>
              </w:rPr>
              <w:t>（2）门急诊次均费用变化情况=（本年度门急诊次均医疗费用-上年度门急诊次均医疗费用）/上年度门急诊次均医疗费用×100%。</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34.住院次均费用</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w:t>
            </w:r>
            <w:r>
              <w:rPr>
                <w:rFonts w:eastAsia="仿宋_GB2312"/>
                <w:sz w:val="24"/>
              </w:rPr>
              <w:t>、市、县（市、区）</w:t>
            </w:r>
            <w:r>
              <w:rPr>
                <w:rFonts w:eastAsia="仿宋_GB2312"/>
                <w:kern w:val="0"/>
                <w:sz w:val="24"/>
                <w:lang w:bidi="ar"/>
              </w:rPr>
              <w:t>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（1）住院次均费用=每床日平均收费×住院天数；</w:t>
            </w:r>
            <w:r>
              <w:rPr>
                <w:rFonts w:eastAsia="仿宋_GB2312"/>
                <w:kern w:val="0"/>
                <w:sz w:val="24"/>
                <w:lang w:bidi="ar"/>
              </w:rPr>
              <w:br w:type="textWrapping"/>
            </w:r>
            <w:r>
              <w:rPr>
                <w:rFonts w:eastAsia="仿宋_GB2312"/>
                <w:kern w:val="0"/>
                <w:sz w:val="24"/>
                <w:lang w:bidi="ar"/>
              </w:rPr>
              <w:t>（2）住院次均费用变化情况=（本年度住院次均医疗费用-上年度住院次均医疗费用）/上年度住院次均医疗费用×100%。</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35.医疗收入变化情况</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kern w:val="0"/>
                <w:sz w:val="24"/>
                <w:lang w:bidi="ar"/>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（1）医疗收入变化情况=（本年度医疗收入-上年度医疗收入）/上年度医疗收入×100%；</w:t>
            </w:r>
          </w:p>
          <w:p>
            <w:pPr>
              <w:widowControl/>
              <w:spacing w:line="340" w:lineRule="exact"/>
              <w:textAlignment w:val="top"/>
              <w:rPr>
                <w:rFonts w:eastAsia="仿宋_GB2312"/>
                <w:sz w:val="24"/>
              </w:rPr>
            </w:pPr>
            <w:r>
              <w:rPr>
                <w:rFonts w:eastAsia="仿宋_GB2312"/>
                <w:kern w:val="0"/>
                <w:sz w:val="24"/>
                <w:lang w:bidi="ar"/>
              </w:rPr>
              <w:t>（2）职工年人均医疗收入=医疗收入/在职职工人数×100%。</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jc w:val="center"/>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40" w:lineRule="exact"/>
              <w:textAlignment w:val="center"/>
              <w:rPr>
                <w:rFonts w:eastAsia="仿宋_GB2312"/>
                <w:sz w:val="24"/>
              </w:rPr>
            </w:pPr>
            <w:r>
              <w:rPr>
                <w:rFonts w:eastAsia="仿宋_GB2312"/>
                <w:kern w:val="0"/>
                <w:sz w:val="24"/>
                <w:lang w:bidi="ar"/>
              </w:rPr>
              <w:t>3</w:t>
            </w:r>
            <w:r>
              <w:rPr>
                <w:rFonts w:eastAsia="仿宋_GB2312"/>
                <w:spacing w:val="-11"/>
                <w:kern w:val="0"/>
                <w:sz w:val="24"/>
                <w:lang w:bidi="ar"/>
              </w:rPr>
              <w:t>6.医疗服务收入占比（不含药品、耗材、检查检验收入）</w:t>
            </w:r>
          </w:p>
        </w:tc>
        <w:tc>
          <w:tcPr>
            <w:tcW w:w="1250" w:type="dxa"/>
            <w:noWrap w:val="0"/>
            <w:vAlign w:val="center"/>
          </w:tcPr>
          <w:p>
            <w:pPr>
              <w:widowControl/>
              <w:spacing w:line="34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医疗服务收入占比=医疗服务收入/医疗收入×100%；</w:t>
            </w:r>
            <w:r>
              <w:rPr>
                <w:rFonts w:eastAsia="仿宋_GB2312"/>
                <w:kern w:val="0"/>
                <w:sz w:val="24"/>
                <w:lang w:bidi="ar"/>
              </w:rPr>
              <w:br w:type="textWrapping"/>
            </w:r>
            <w:r>
              <w:rPr>
                <w:rFonts w:eastAsia="仿宋_GB2312"/>
                <w:kern w:val="0"/>
                <w:sz w:val="24"/>
                <w:lang w:bidi="ar"/>
              </w:rPr>
              <w:t>医疗服务收入包括挂号收入、床位收入、诊查收入、治疗收入、手术收入、药事服务收入、护理收入等。</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37.收支结余</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jc w:val="lef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（1）收支结余=业务收支结余+财政项目补助收支结转（余）+科教项目补助收支结转（余）；</w:t>
            </w:r>
            <w:r>
              <w:rPr>
                <w:rFonts w:eastAsia="仿宋_GB2312"/>
                <w:kern w:val="0"/>
                <w:sz w:val="24"/>
                <w:lang w:bidi="ar"/>
              </w:rPr>
              <w:br w:type="textWrapping"/>
            </w:r>
            <w:r>
              <w:rPr>
                <w:rFonts w:eastAsia="仿宋_GB2312"/>
                <w:kern w:val="0"/>
                <w:sz w:val="24"/>
                <w:lang w:bidi="ar"/>
              </w:rPr>
              <w:t>（2）业务收支结余=医疗收支结余+其他收入-其他支出，其中：医疗收支结余=医疗收入+财政基本支出补助收入-医疗支出-管理费；</w:t>
            </w:r>
            <w:r>
              <w:rPr>
                <w:rFonts w:eastAsia="仿宋_GB2312"/>
                <w:kern w:val="0"/>
                <w:sz w:val="24"/>
                <w:lang w:bidi="ar"/>
              </w:rPr>
              <w:br w:type="textWrapping"/>
            </w:r>
            <w:r>
              <w:rPr>
                <w:rFonts w:eastAsia="仿宋_GB2312"/>
                <w:spacing w:val="-9"/>
                <w:kern w:val="0"/>
                <w:sz w:val="24"/>
                <w:lang w:bidi="ar"/>
              </w:rPr>
              <w:t>（3）财政项目补助收支结转（余）=财政项目支出补助收入-财政项目补助支出；</w:t>
            </w:r>
            <w:r>
              <w:rPr>
                <w:rFonts w:eastAsia="仿宋_GB2312"/>
                <w:spacing w:val="-9"/>
                <w:kern w:val="0"/>
                <w:sz w:val="24"/>
                <w:lang w:bidi="ar"/>
              </w:rPr>
              <w:br w:type="textWrapping"/>
            </w:r>
            <w:r>
              <w:rPr>
                <w:rFonts w:eastAsia="仿宋_GB2312"/>
                <w:spacing w:val="-9"/>
                <w:kern w:val="0"/>
                <w:sz w:val="24"/>
                <w:lang w:bidi="ar"/>
              </w:rPr>
              <w:t>（4）科教项目补助收支结转（余）=科教项目支出补助收入-科教项目补助支出。</w:t>
            </w:r>
            <w:r>
              <w:rPr>
                <w:rFonts w:eastAsia="仿宋_GB2312"/>
                <w:spacing w:val="-9"/>
                <w:kern w:val="0"/>
                <w:sz w:val="24"/>
                <w:lang w:bidi="ar"/>
              </w:rPr>
              <w:br w:type="textWrapping"/>
            </w:r>
            <w:r>
              <w:rPr>
                <w:rFonts w:eastAsia="仿宋_GB2312"/>
                <w:kern w:val="0"/>
                <w:sz w:val="24"/>
                <w:lang w:bidi="ar"/>
              </w:rPr>
              <w:t>【数据来源】卫生健康财务年报或其他数据来源。</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38.人员支出占业务支出比例</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textAlignment w:val="center"/>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人员支出占业务支出比例=人员支出/业务支出×100%。</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pacing w:val="-14"/>
                <w:kern w:val="0"/>
                <w:sz w:val="24"/>
                <w:lang w:bidi="ar"/>
              </w:rPr>
            </w:pPr>
            <w:r>
              <w:rPr>
                <w:rFonts w:eastAsia="仿宋_GB2312"/>
                <w:spacing w:val="-14"/>
                <w:kern w:val="0"/>
                <w:sz w:val="24"/>
                <w:lang w:bidi="ar"/>
              </w:rPr>
              <w:t>39.在职职工人均财政补助</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rPr>
                <w:rFonts w:eastAsia="仿宋_GB2312"/>
                <w:kern w:val="0"/>
                <w:sz w:val="24"/>
                <w:lang w:bidi="ar"/>
              </w:rPr>
            </w:pPr>
            <w:r>
              <w:rPr>
                <w:rFonts w:eastAsia="仿宋_GB2312"/>
                <w:kern w:val="0"/>
                <w:sz w:val="24"/>
                <w:lang w:bidi="ar"/>
              </w:rPr>
              <w:t>具体按照省、市、县（市、区）规定的相关要求。该指标仅作为省、市对县监测指标，对基层医疗卫生机构不考核。</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（1）在职职工人均财政补助=财政补助总数/在职职工人员总数（含编外人员）×100%；</w:t>
            </w:r>
          </w:p>
          <w:p>
            <w:pPr>
              <w:widowControl/>
              <w:spacing w:line="320" w:lineRule="exact"/>
              <w:rPr>
                <w:rFonts w:eastAsia="仿宋_GB2312"/>
                <w:kern w:val="0"/>
                <w:sz w:val="24"/>
                <w:lang w:bidi="ar"/>
              </w:rPr>
            </w:pPr>
            <w:r>
              <w:rPr>
                <w:rFonts w:eastAsia="仿宋_GB2312"/>
                <w:kern w:val="0"/>
                <w:sz w:val="24"/>
                <w:lang w:bidi="ar"/>
              </w:rPr>
              <w:t>（2）在职在编职工人均财政补助=财政补助总数/在职在编职工人员总数×100%。</w:t>
            </w:r>
            <w:r>
              <w:rPr>
                <w:rFonts w:eastAsia="仿宋_GB2312"/>
                <w:kern w:val="0"/>
                <w:sz w:val="24"/>
                <w:lang w:bidi="ar"/>
              </w:rPr>
              <w:br w:type="textWrapping"/>
            </w:r>
            <w:r>
              <w:rPr>
                <w:rFonts w:eastAsia="仿宋_GB2312"/>
                <w:kern w:val="0"/>
                <w:sz w:val="24"/>
                <w:lang w:bidi="ar"/>
              </w:rPr>
              <w:t>【数据来源】卫生健康财务年报。</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r>
              <w:rPr>
                <w:rFonts w:eastAsia="仿宋_GB2312"/>
                <w:kern w:val="0"/>
                <w:sz w:val="24"/>
                <w:lang w:bidi="ar"/>
              </w:rPr>
              <w:t>省监测指标</w:t>
            </w:r>
          </w:p>
          <w:p>
            <w:pPr>
              <w:widowControl/>
              <w:jc w:val="center"/>
              <w:textAlignment w:val="top"/>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textAlignment w:val="center"/>
              <w:rPr>
                <w:rFonts w:eastAsia="仿宋_GB2312"/>
                <w:sz w:val="24"/>
              </w:rPr>
            </w:pPr>
            <w:r>
              <w:rPr>
                <w:rFonts w:eastAsia="仿宋_GB2312"/>
                <w:kern w:val="0"/>
                <w:sz w:val="24"/>
                <w:lang w:bidi="ar"/>
              </w:rPr>
              <w:t>40.财务制度</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定性</w:t>
            </w:r>
          </w:p>
        </w:tc>
        <w:tc>
          <w:tcPr>
            <w:tcW w:w="8120" w:type="dxa"/>
            <w:noWrap w:val="0"/>
            <w:vAlign w:val="center"/>
          </w:tcPr>
          <w:p>
            <w:pPr>
              <w:widowControl/>
              <w:spacing w:line="320" w:lineRule="exact"/>
              <w:textAlignment w:val="top"/>
              <w:rPr>
                <w:rFonts w:eastAsia="仿宋_GB2312"/>
                <w:sz w:val="24"/>
              </w:rPr>
            </w:pPr>
            <w:r>
              <w:rPr>
                <w:rFonts w:eastAsia="仿宋_GB2312"/>
                <w:kern w:val="0"/>
                <w:sz w:val="24"/>
                <w:lang w:bidi="ar"/>
              </w:rPr>
              <w:t>（1）根据相关法律法规的要求，制定符合实际的财务管理制度，加强预算管理；</w:t>
            </w:r>
            <w:r>
              <w:rPr>
                <w:rFonts w:eastAsia="仿宋_GB2312"/>
                <w:kern w:val="0"/>
                <w:sz w:val="24"/>
                <w:lang w:bidi="ar"/>
              </w:rPr>
              <w:br w:type="textWrapping"/>
            </w:r>
            <w:r>
              <w:rPr>
                <w:rFonts w:eastAsia="仿宋_GB2312"/>
                <w:kern w:val="0"/>
                <w:sz w:val="24"/>
                <w:lang w:bidi="ar"/>
              </w:rPr>
              <w:t>（2）全面落实价格公示制度，收费价格透明；</w:t>
            </w:r>
            <w:r>
              <w:rPr>
                <w:rFonts w:eastAsia="仿宋_GB2312"/>
                <w:kern w:val="0"/>
                <w:sz w:val="24"/>
                <w:lang w:bidi="ar"/>
              </w:rPr>
              <w:br w:type="textWrapping"/>
            </w:r>
            <w:r>
              <w:rPr>
                <w:rFonts w:eastAsia="仿宋_GB2312"/>
                <w:kern w:val="0"/>
                <w:sz w:val="24"/>
                <w:lang w:bidi="ar"/>
              </w:rPr>
              <w:t>（3）健全固定资产管理制度，有固定资产明细目录，台账完整，账物相符；</w:t>
            </w:r>
            <w:r>
              <w:rPr>
                <w:rFonts w:eastAsia="仿宋_GB2312"/>
                <w:kern w:val="0"/>
                <w:sz w:val="24"/>
                <w:lang w:bidi="ar"/>
              </w:rPr>
              <w:br w:type="textWrapping"/>
            </w:r>
            <w:r>
              <w:rPr>
                <w:rFonts w:eastAsia="仿宋_GB2312"/>
                <w:kern w:val="0"/>
                <w:sz w:val="24"/>
                <w:lang w:bidi="ar"/>
              </w:rPr>
              <w:t>（4）财务人员配置到位，财务集中核算管理的机构配备经过培训合格的报账员。</w:t>
            </w:r>
            <w:r>
              <w:rPr>
                <w:rFonts w:eastAsia="仿宋_GB2312"/>
                <w:kern w:val="0"/>
                <w:sz w:val="24"/>
                <w:lang w:bidi="ar"/>
              </w:rPr>
              <w:br w:type="textWrapping"/>
            </w:r>
            <w:r>
              <w:rPr>
                <w:rFonts w:eastAsia="仿宋_GB2312"/>
                <w:kern w:val="0"/>
                <w:sz w:val="24"/>
                <w:lang w:bidi="ar"/>
              </w:rPr>
              <w:t>【数据来源】“优质服务基层行”活动申报信息系统数据或其他数据来源。</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noWrap w:val="0"/>
            <w:vAlign w:val="center"/>
          </w:tcPr>
          <w:p>
            <w:pPr>
              <w:widowControl/>
              <w:textAlignment w:val="center"/>
              <w:rPr>
                <w:rFonts w:eastAsia="仿宋_GB2312"/>
                <w:sz w:val="24"/>
              </w:rPr>
            </w:pPr>
            <w:r>
              <w:rPr>
                <w:rFonts w:eastAsia="仿宋_GB2312"/>
                <w:kern w:val="0"/>
                <w:sz w:val="24"/>
                <w:lang w:bidi="ar"/>
              </w:rPr>
              <w:t>（五）信息管理</w:t>
            </w:r>
          </w:p>
        </w:tc>
        <w:tc>
          <w:tcPr>
            <w:tcW w:w="1508" w:type="dxa"/>
            <w:noWrap w:val="0"/>
            <w:vAlign w:val="center"/>
          </w:tcPr>
          <w:p>
            <w:pPr>
              <w:widowControl/>
              <w:textAlignment w:val="center"/>
              <w:rPr>
                <w:rFonts w:eastAsia="仿宋_GB2312"/>
                <w:sz w:val="24"/>
              </w:rPr>
            </w:pPr>
            <w:r>
              <w:rPr>
                <w:rFonts w:eastAsia="仿宋_GB2312"/>
                <w:kern w:val="0"/>
                <w:sz w:val="24"/>
                <w:lang w:bidi="ar"/>
              </w:rPr>
              <w:t>41.信息管理系统应用</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定性</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建立并运用信息管理综合系统，并能实现以下功能:</w:t>
            </w:r>
            <w:r>
              <w:rPr>
                <w:rFonts w:eastAsia="仿宋_GB2312"/>
                <w:kern w:val="0"/>
                <w:sz w:val="24"/>
                <w:lang w:bidi="ar"/>
              </w:rPr>
              <w:br w:type="textWrapping"/>
            </w:r>
            <w:r>
              <w:rPr>
                <w:rFonts w:eastAsia="仿宋_GB2312"/>
                <w:kern w:val="0"/>
                <w:sz w:val="24"/>
                <w:lang w:bidi="ar"/>
              </w:rPr>
              <w:t>（1）健康档案服务与管理；</w:t>
            </w:r>
            <w:r>
              <w:rPr>
                <w:rFonts w:eastAsia="仿宋_GB2312"/>
                <w:kern w:val="0"/>
                <w:sz w:val="24"/>
                <w:lang w:bidi="ar"/>
              </w:rPr>
              <w:br w:type="textWrapping"/>
            </w:r>
            <w:r>
              <w:rPr>
                <w:rFonts w:eastAsia="仿宋_GB2312"/>
                <w:kern w:val="0"/>
                <w:sz w:val="24"/>
                <w:lang w:bidi="ar"/>
              </w:rPr>
              <w:t>（2）基本公共卫生服务项目管理；</w:t>
            </w:r>
            <w:r>
              <w:rPr>
                <w:rFonts w:eastAsia="仿宋_GB2312"/>
                <w:kern w:val="0"/>
                <w:sz w:val="24"/>
                <w:lang w:bidi="ar"/>
              </w:rPr>
              <w:br w:type="textWrapping"/>
            </w:r>
            <w:r>
              <w:rPr>
                <w:rFonts w:eastAsia="仿宋_GB2312"/>
                <w:kern w:val="0"/>
                <w:sz w:val="24"/>
                <w:lang w:bidi="ar"/>
              </w:rPr>
              <w:t>（3）基本医疗服务管理；</w:t>
            </w:r>
            <w:r>
              <w:rPr>
                <w:rFonts w:eastAsia="仿宋_GB2312"/>
                <w:kern w:val="0"/>
                <w:sz w:val="24"/>
                <w:lang w:bidi="ar"/>
              </w:rPr>
              <w:br w:type="textWrapping"/>
            </w:r>
            <w:r>
              <w:rPr>
                <w:rFonts w:eastAsia="仿宋_GB2312"/>
                <w:kern w:val="0"/>
                <w:sz w:val="24"/>
                <w:lang w:bidi="ar"/>
              </w:rPr>
              <w:t>（4）中医药服务管理；</w:t>
            </w:r>
            <w:r>
              <w:rPr>
                <w:rFonts w:eastAsia="仿宋_GB2312"/>
                <w:kern w:val="0"/>
                <w:sz w:val="24"/>
                <w:lang w:bidi="ar"/>
              </w:rPr>
              <w:br w:type="textWrapping"/>
            </w:r>
            <w:r>
              <w:rPr>
                <w:rFonts w:eastAsia="仿宋_GB2312"/>
                <w:kern w:val="0"/>
                <w:sz w:val="24"/>
                <w:lang w:bidi="ar"/>
              </w:rPr>
              <w:t>（5）药品管理；</w:t>
            </w:r>
            <w:r>
              <w:rPr>
                <w:rFonts w:eastAsia="仿宋_GB2312"/>
                <w:kern w:val="0"/>
                <w:sz w:val="24"/>
                <w:lang w:bidi="ar"/>
              </w:rPr>
              <w:br w:type="textWrapping"/>
            </w:r>
            <w:r>
              <w:rPr>
                <w:rFonts w:eastAsia="仿宋_GB2312"/>
                <w:kern w:val="0"/>
                <w:sz w:val="24"/>
                <w:lang w:bidi="ar"/>
              </w:rPr>
              <w:t>（6）卫生统计信息服务和管理；</w:t>
            </w:r>
            <w:r>
              <w:rPr>
                <w:rFonts w:eastAsia="仿宋_GB2312"/>
                <w:kern w:val="0"/>
                <w:sz w:val="24"/>
                <w:lang w:bidi="ar"/>
              </w:rPr>
              <w:br w:type="textWrapping"/>
            </w:r>
            <w:r>
              <w:rPr>
                <w:rFonts w:eastAsia="仿宋_GB2312"/>
                <w:kern w:val="0"/>
                <w:sz w:val="24"/>
                <w:lang w:bidi="ar"/>
              </w:rPr>
              <w:t>（7）医疗保险服务管理；</w:t>
            </w:r>
            <w:r>
              <w:rPr>
                <w:rFonts w:eastAsia="仿宋_GB2312"/>
                <w:kern w:val="0"/>
                <w:sz w:val="24"/>
                <w:lang w:bidi="ar"/>
              </w:rPr>
              <w:br w:type="textWrapping"/>
            </w:r>
            <w:r>
              <w:rPr>
                <w:rFonts w:eastAsia="仿宋_GB2312"/>
                <w:kern w:val="0"/>
                <w:sz w:val="24"/>
                <w:lang w:bidi="ar"/>
              </w:rPr>
              <w:t>（8）基层补偿机制改革管理；</w:t>
            </w:r>
            <w:r>
              <w:rPr>
                <w:rFonts w:eastAsia="仿宋_GB2312"/>
                <w:kern w:val="0"/>
                <w:sz w:val="24"/>
                <w:lang w:bidi="ar"/>
              </w:rPr>
              <w:br w:type="textWrapping"/>
            </w:r>
            <w:r>
              <w:rPr>
                <w:rFonts w:eastAsia="仿宋_GB2312"/>
                <w:kern w:val="0"/>
                <w:sz w:val="24"/>
                <w:lang w:bidi="ar"/>
              </w:rPr>
              <w:t>（9）综合管理。</w:t>
            </w:r>
            <w:r>
              <w:rPr>
                <w:rFonts w:eastAsia="仿宋_GB2312"/>
                <w:kern w:val="0"/>
                <w:sz w:val="24"/>
                <w:lang w:bidi="ar"/>
              </w:rPr>
              <w:br w:type="textWrapping"/>
            </w:r>
            <w:r>
              <w:rPr>
                <w:rFonts w:eastAsia="仿宋_GB2312"/>
                <w:kern w:val="0"/>
                <w:sz w:val="24"/>
                <w:lang w:bidi="ar"/>
              </w:rPr>
              <w:t>【数据来源】基层医疗卫生机构补偿机制改革绩效考核系统、电子健康档案系统、“优质服务基层行”活动申报信息系统数据、中医馆健康信息平台数据或其他数据来源。</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（六）协同服务</w:t>
            </w:r>
          </w:p>
        </w:tc>
        <w:tc>
          <w:tcPr>
            <w:tcW w:w="1508" w:type="dxa"/>
            <w:noWrap w:val="0"/>
            <w:vAlign w:val="center"/>
          </w:tcPr>
          <w:p>
            <w:pPr>
              <w:widowControl/>
              <w:textAlignment w:val="center"/>
              <w:rPr>
                <w:rFonts w:eastAsia="仿宋_GB2312"/>
                <w:sz w:val="24"/>
              </w:rPr>
            </w:pPr>
            <w:r>
              <w:rPr>
                <w:rFonts w:eastAsia="仿宋_GB2312"/>
                <w:kern w:val="0"/>
                <w:sz w:val="24"/>
                <w:lang w:bidi="ar"/>
              </w:rPr>
              <w:t>42.双向转诊</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40" w:lineRule="exact"/>
              <w:textAlignment w:val="top"/>
              <w:rPr>
                <w:rFonts w:eastAsia="仿宋_GB2312"/>
                <w:sz w:val="24"/>
              </w:rPr>
            </w:pPr>
            <w:r>
              <w:rPr>
                <w:rFonts w:eastAsia="仿宋_GB2312"/>
                <w:kern w:val="0"/>
                <w:sz w:val="24"/>
                <w:lang w:bidi="ar"/>
              </w:rPr>
              <w:t>基层医疗卫生机构与医院分工协作，建立双向转诊机制。</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（1）总诊疗人次中向上级医院转诊人次数（门急诊、住院）：指的是本年度基层医疗卫生机构向二、三级医院上转的患者人次数；</w:t>
            </w:r>
            <w:r>
              <w:rPr>
                <w:rFonts w:eastAsia="仿宋_GB2312"/>
                <w:kern w:val="0"/>
                <w:sz w:val="24"/>
                <w:lang w:bidi="ar"/>
              </w:rPr>
              <w:br w:type="textWrapping"/>
            </w:r>
            <w:r>
              <w:rPr>
                <w:rFonts w:eastAsia="仿宋_GB2312"/>
                <w:kern w:val="0"/>
                <w:sz w:val="24"/>
                <w:lang w:bidi="ar"/>
              </w:rPr>
              <w:t>（2）总诊疗人次中上级医院向下转诊人次数上级医院下转的患者人次数（门急诊、住院）：指本年度二、三级医院向基层医疗卫生机构下转的患者人次数。</w:t>
            </w:r>
            <w:r>
              <w:rPr>
                <w:rFonts w:eastAsia="仿宋_GB2312"/>
                <w:kern w:val="0"/>
                <w:sz w:val="24"/>
                <w:lang w:bidi="ar"/>
              </w:rPr>
              <w:br w:type="textWrapping"/>
            </w:r>
            <w:r>
              <w:rPr>
                <w:rFonts w:eastAsia="仿宋_GB2312"/>
                <w:kern w:val="0"/>
                <w:sz w:val="24"/>
                <w:lang w:bidi="ar"/>
              </w:rPr>
              <w:t>【数据来源】卫生健康统计年报、转诊平台或其它数据来源。</w:t>
            </w:r>
          </w:p>
        </w:tc>
        <w:tc>
          <w:tcPr>
            <w:tcW w:w="1487" w:type="dxa"/>
            <w:noWrap w:val="0"/>
            <w:tcMar>
              <w:left w:w="6" w:type="dxa"/>
              <w:right w:w="6" w:type="dxa"/>
            </w:tcMar>
            <w:vAlign w:val="center"/>
          </w:tcPr>
          <w:p>
            <w:pPr>
              <w:jc w:val="center"/>
              <w:rPr>
                <w:rFonts w:eastAsia="仿宋_GB2312"/>
                <w:kern w:val="0"/>
                <w:sz w:val="24"/>
                <w:lang w:bidi="ar"/>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widowControl/>
              <w:textAlignment w:val="center"/>
              <w:rPr>
                <w:rFonts w:eastAsia="仿宋_GB2312"/>
                <w:kern w:val="0"/>
                <w:sz w:val="24"/>
                <w:lang w:bidi="ar"/>
              </w:rPr>
            </w:pPr>
          </w:p>
        </w:tc>
        <w:tc>
          <w:tcPr>
            <w:tcW w:w="1508" w:type="dxa"/>
            <w:noWrap w:val="0"/>
            <w:vAlign w:val="center"/>
          </w:tcPr>
          <w:p>
            <w:pPr>
              <w:widowControl/>
              <w:spacing w:line="320" w:lineRule="exact"/>
              <w:jc w:val="distribute"/>
              <w:textAlignment w:val="center"/>
              <w:rPr>
                <w:rFonts w:eastAsia="仿宋_GB2312"/>
                <w:kern w:val="0"/>
                <w:sz w:val="24"/>
                <w:lang w:bidi="ar"/>
              </w:rPr>
            </w:pPr>
            <w:r>
              <w:rPr>
                <w:rFonts w:eastAsia="仿宋_GB2312"/>
                <w:spacing w:val="-17"/>
                <w:kern w:val="0"/>
                <w:sz w:val="24"/>
                <w:lang w:bidi="ar"/>
              </w:rPr>
              <w:t>43.一体化管理</w:t>
            </w:r>
          </w:p>
        </w:tc>
        <w:tc>
          <w:tcPr>
            <w:tcW w:w="1250" w:type="dxa"/>
            <w:noWrap w:val="0"/>
            <w:vAlign w:val="center"/>
          </w:tcPr>
          <w:p>
            <w:pPr>
              <w:widowControl/>
              <w:spacing w:line="320" w:lineRule="exact"/>
              <w:jc w:val="center"/>
              <w:textAlignment w:val="center"/>
              <w:rPr>
                <w:rFonts w:eastAsia="仿宋_GB2312"/>
                <w:kern w:val="0"/>
                <w:sz w:val="24"/>
                <w:lang w:bidi="ar"/>
              </w:rPr>
            </w:pPr>
            <w:r>
              <w:rPr>
                <w:rFonts w:eastAsia="仿宋_GB2312"/>
                <w:kern w:val="0"/>
                <w:sz w:val="24"/>
                <w:lang w:bidi="ar"/>
              </w:rPr>
              <w:t>定性</w:t>
            </w:r>
          </w:p>
        </w:tc>
        <w:tc>
          <w:tcPr>
            <w:tcW w:w="8120" w:type="dxa"/>
            <w:noWrap w:val="0"/>
            <w:vAlign w:val="center"/>
          </w:tcPr>
          <w:p>
            <w:pPr>
              <w:widowControl/>
              <w:spacing w:line="320" w:lineRule="exact"/>
              <w:textAlignment w:val="center"/>
              <w:rPr>
                <w:rFonts w:eastAsia="仿宋_GB2312"/>
                <w:kern w:val="0"/>
                <w:sz w:val="24"/>
                <w:lang w:bidi="ar"/>
              </w:rPr>
            </w:pPr>
            <w:r>
              <w:rPr>
                <w:rFonts w:eastAsia="仿宋_GB2312"/>
                <w:kern w:val="0"/>
                <w:sz w:val="24"/>
                <w:lang w:bidi="ar"/>
              </w:rPr>
              <w:t>（1）社区卫生服务中心、乡镇卫生院对所属的社区卫生服务站或村卫生室实行一体化管理；</w:t>
            </w:r>
            <w:r>
              <w:rPr>
                <w:rFonts w:eastAsia="仿宋_GB2312"/>
                <w:kern w:val="0"/>
                <w:sz w:val="24"/>
                <w:lang w:bidi="ar"/>
              </w:rPr>
              <w:br w:type="textWrapping"/>
            </w:r>
            <w:r>
              <w:rPr>
                <w:rFonts w:eastAsia="仿宋_GB2312"/>
                <w:kern w:val="0"/>
                <w:sz w:val="24"/>
                <w:lang w:bidi="ar"/>
              </w:rPr>
              <w:t>（2）乡镇卫生院对乡村医生进行技术培训和业务指导。</w:t>
            </w:r>
            <w:r>
              <w:rPr>
                <w:rFonts w:eastAsia="仿宋_GB2312"/>
                <w:kern w:val="0"/>
                <w:sz w:val="24"/>
                <w:lang w:bidi="ar"/>
              </w:rPr>
              <w:br w:type="textWrapping"/>
            </w:r>
            <w:r>
              <w:rPr>
                <w:rFonts w:eastAsia="仿宋_GB2312"/>
                <w:kern w:val="0"/>
                <w:sz w:val="24"/>
                <w:lang w:bidi="ar"/>
              </w:rPr>
              <w:t>【数据来源】县（市、区）卫生健康行政部门。</w:t>
            </w:r>
          </w:p>
        </w:tc>
        <w:tc>
          <w:tcPr>
            <w:tcW w:w="1487" w:type="dxa"/>
            <w:noWrap w:val="0"/>
            <w:tcMar>
              <w:left w:w="6" w:type="dxa"/>
              <w:right w:w="6" w:type="dxa"/>
            </w:tcMar>
            <w:vAlign w:val="center"/>
          </w:tcPr>
          <w:p>
            <w:pPr>
              <w:widowControl/>
              <w:jc w:val="center"/>
              <w:textAlignment w:val="top"/>
              <w:rPr>
                <w:rFonts w:eastAsia="仿宋_GB2312"/>
                <w:kern w:val="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textAlignment w:val="center"/>
              <w:rPr>
                <w:rFonts w:eastAsia="仿宋_GB2312"/>
                <w:sz w:val="24"/>
              </w:rPr>
            </w:pPr>
            <w:r>
              <w:rPr>
                <w:rFonts w:eastAsia="仿宋_GB2312"/>
                <w:kern w:val="0"/>
                <w:sz w:val="24"/>
                <w:lang w:bidi="ar"/>
              </w:rPr>
              <w:t>三、可持续发展</w:t>
            </w: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（七）人力配置</w:t>
            </w:r>
          </w:p>
        </w:tc>
        <w:tc>
          <w:tcPr>
            <w:tcW w:w="1508" w:type="dxa"/>
            <w:noWrap w:val="0"/>
            <w:vAlign w:val="center"/>
          </w:tcPr>
          <w:p>
            <w:pPr>
              <w:widowControl/>
              <w:spacing w:line="320" w:lineRule="exact"/>
              <w:textAlignment w:val="center"/>
              <w:rPr>
                <w:rFonts w:eastAsia="仿宋_GB2312"/>
                <w:sz w:val="24"/>
              </w:rPr>
            </w:pPr>
            <w:r>
              <w:rPr>
                <w:rFonts w:eastAsia="仿宋_GB2312"/>
                <w:kern w:val="0"/>
                <w:sz w:val="24"/>
                <w:lang w:bidi="ar"/>
              </w:rPr>
              <w:t>44.每万人口全科医生数</w:t>
            </w:r>
          </w:p>
        </w:tc>
        <w:tc>
          <w:tcPr>
            <w:tcW w:w="1250" w:type="dxa"/>
            <w:noWrap w:val="0"/>
            <w:vAlign w:val="center"/>
          </w:tcPr>
          <w:p>
            <w:pPr>
              <w:widowControl/>
              <w:spacing w:line="32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每万人口全科医生数=基层医疗卫生机构全科医生数×10000/服务人口数；</w:t>
            </w:r>
            <w:r>
              <w:rPr>
                <w:rFonts w:eastAsia="仿宋_GB2312"/>
                <w:kern w:val="0"/>
                <w:sz w:val="24"/>
                <w:lang w:bidi="ar"/>
              </w:rPr>
              <w:br w:type="textWrapping"/>
            </w:r>
            <w:r>
              <w:rPr>
                <w:rFonts w:eastAsia="仿宋_GB2312"/>
                <w:kern w:val="0"/>
                <w:sz w:val="24"/>
                <w:lang w:bidi="ar"/>
              </w:rPr>
              <w:t>全科医生数指注册为全科医学专业或取得全科医生培训合格证的执业（助理）医师数之和。</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20" w:lineRule="exact"/>
              <w:textAlignment w:val="center"/>
              <w:rPr>
                <w:rFonts w:eastAsia="仿宋_GB2312"/>
                <w:sz w:val="24"/>
              </w:rPr>
            </w:pPr>
            <w:r>
              <w:rPr>
                <w:rFonts w:eastAsia="仿宋_GB2312"/>
                <w:kern w:val="0"/>
                <w:sz w:val="24"/>
                <w:lang w:bidi="ar"/>
              </w:rPr>
              <w:t>45.医护比</w:t>
            </w:r>
          </w:p>
        </w:tc>
        <w:tc>
          <w:tcPr>
            <w:tcW w:w="1250" w:type="dxa"/>
            <w:noWrap w:val="0"/>
            <w:vAlign w:val="center"/>
          </w:tcPr>
          <w:p>
            <w:pPr>
              <w:widowControl/>
              <w:spacing w:line="32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rPr>
                <w:rFonts w:eastAsia="仿宋_GB2312"/>
                <w:sz w:val="24"/>
              </w:rPr>
            </w:pPr>
            <w:r>
              <w:rPr>
                <w:rFonts w:eastAsia="仿宋_GB2312"/>
                <w:kern w:val="0"/>
                <w:sz w:val="24"/>
                <w:lang w:bidi="ar"/>
              </w:rPr>
              <w:t>具体按照本省、市、县（市、区）规定的相关要求。该指标仅作为省、市对县监测指标，对基层医疗卫生机构不考核。</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医护比=注册执业（助理）医师数/同期注册护士数。</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widowControl/>
              <w:jc w:val="center"/>
              <w:textAlignment w:val="top"/>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restart"/>
            <w:noWrap w:val="0"/>
            <w:vAlign w:val="center"/>
          </w:tcPr>
          <w:p>
            <w:pPr>
              <w:widowControl/>
              <w:textAlignment w:val="center"/>
              <w:rPr>
                <w:rFonts w:eastAsia="仿宋_GB2312"/>
                <w:sz w:val="24"/>
              </w:rPr>
            </w:pPr>
            <w:r>
              <w:rPr>
                <w:rFonts w:eastAsia="仿宋_GB2312"/>
                <w:kern w:val="0"/>
                <w:sz w:val="24"/>
                <w:lang w:bidi="ar"/>
              </w:rPr>
              <w:t>（八）人员结构</w:t>
            </w:r>
          </w:p>
        </w:tc>
        <w:tc>
          <w:tcPr>
            <w:tcW w:w="1508" w:type="dxa"/>
            <w:noWrap w:val="0"/>
            <w:vAlign w:val="center"/>
          </w:tcPr>
          <w:p>
            <w:pPr>
              <w:widowControl/>
              <w:spacing w:line="320" w:lineRule="exact"/>
              <w:textAlignment w:val="center"/>
              <w:rPr>
                <w:rFonts w:eastAsia="仿宋_GB2312"/>
                <w:spacing w:val="-14"/>
                <w:sz w:val="24"/>
              </w:rPr>
            </w:pPr>
            <w:r>
              <w:rPr>
                <w:rFonts w:eastAsia="仿宋_GB2312"/>
                <w:spacing w:val="-14"/>
                <w:kern w:val="0"/>
                <w:sz w:val="24"/>
                <w:lang w:bidi="ar"/>
              </w:rPr>
              <w:t>46.卫生技术人员学历结构</w:t>
            </w:r>
          </w:p>
        </w:tc>
        <w:tc>
          <w:tcPr>
            <w:tcW w:w="1250" w:type="dxa"/>
            <w:noWrap w:val="0"/>
            <w:vAlign w:val="center"/>
          </w:tcPr>
          <w:p>
            <w:pPr>
              <w:widowControl/>
              <w:spacing w:line="32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具有本科及以上学历的卫生技术人员数/同期卫生技术人员总数×100%。</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20" w:lineRule="exact"/>
              <w:textAlignment w:val="center"/>
              <w:rPr>
                <w:rFonts w:eastAsia="仿宋_GB2312"/>
                <w:spacing w:val="-14"/>
                <w:sz w:val="24"/>
              </w:rPr>
            </w:pPr>
            <w:r>
              <w:rPr>
                <w:rFonts w:eastAsia="仿宋_GB2312"/>
                <w:spacing w:val="-14"/>
                <w:kern w:val="0"/>
                <w:sz w:val="24"/>
                <w:lang w:bidi="ar"/>
              </w:rPr>
              <w:t>47.卫生技术人员职称结构</w:t>
            </w:r>
          </w:p>
        </w:tc>
        <w:tc>
          <w:tcPr>
            <w:tcW w:w="1250" w:type="dxa"/>
            <w:noWrap w:val="0"/>
            <w:vAlign w:val="center"/>
          </w:tcPr>
          <w:p>
            <w:pPr>
              <w:widowControl/>
              <w:spacing w:line="32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具有高级职称的卫生技术人员数/同期卫生技术人员总数×100%。</w:t>
            </w:r>
            <w:r>
              <w:rPr>
                <w:rFonts w:eastAsia="仿宋_GB2312"/>
                <w:kern w:val="0"/>
                <w:sz w:val="24"/>
                <w:lang w:bidi="ar"/>
              </w:rPr>
              <w:br w:type="textWrapping"/>
            </w:r>
            <w:r>
              <w:rPr>
                <w:rFonts w:eastAsia="仿宋_GB2312"/>
                <w:kern w:val="0"/>
                <w:sz w:val="24"/>
                <w:lang w:bidi="ar"/>
              </w:rPr>
              <w:t>【数据来源】卫生健康统计年报。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vMerge w:val="continue"/>
            <w:noWrap w:val="0"/>
            <w:vAlign w:val="center"/>
          </w:tcPr>
          <w:p>
            <w:pPr>
              <w:rPr>
                <w:rFonts w:eastAsia="仿宋_GB2312"/>
                <w:sz w:val="24"/>
              </w:rPr>
            </w:pPr>
          </w:p>
        </w:tc>
        <w:tc>
          <w:tcPr>
            <w:tcW w:w="1508" w:type="dxa"/>
            <w:noWrap w:val="0"/>
            <w:vAlign w:val="center"/>
          </w:tcPr>
          <w:p>
            <w:pPr>
              <w:widowControl/>
              <w:spacing w:line="320" w:lineRule="exact"/>
              <w:textAlignment w:val="center"/>
              <w:rPr>
                <w:rFonts w:eastAsia="仿宋_GB2312"/>
                <w:sz w:val="24"/>
              </w:rPr>
            </w:pPr>
            <w:r>
              <w:rPr>
                <w:rFonts w:eastAsia="仿宋_GB2312"/>
                <w:kern w:val="0"/>
                <w:sz w:val="24"/>
                <w:lang w:bidi="ar"/>
              </w:rPr>
              <w:t>48.中医类别医师占比</w:t>
            </w:r>
          </w:p>
        </w:tc>
        <w:tc>
          <w:tcPr>
            <w:tcW w:w="1250" w:type="dxa"/>
            <w:noWrap w:val="0"/>
            <w:vAlign w:val="center"/>
          </w:tcPr>
          <w:p>
            <w:pPr>
              <w:widowControl/>
              <w:spacing w:line="320" w:lineRule="exact"/>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spacing w:line="320" w:lineRule="exact"/>
              <w:textAlignment w:val="top"/>
              <w:rPr>
                <w:rFonts w:eastAsia="仿宋_GB2312"/>
                <w:sz w:val="24"/>
              </w:rPr>
            </w:pPr>
            <w:r>
              <w:rPr>
                <w:rFonts w:eastAsia="仿宋_GB2312"/>
                <w:kern w:val="0"/>
                <w:sz w:val="24"/>
                <w:lang w:bidi="ar"/>
              </w:rPr>
              <w:t>具体按照本省、市、县（市、区）规定的相关要求。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中医类别医师占比=中医类别执业（助理）医师数/同期基层医疗卫生机构执业（助理）医师总数。</w:t>
            </w:r>
            <w:r>
              <w:rPr>
                <w:rFonts w:eastAsia="仿宋_GB2312"/>
                <w:kern w:val="0"/>
                <w:sz w:val="24"/>
                <w:lang w:bidi="ar"/>
              </w:rPr>
              <w:br w:type="textWrapping"/>
            </w:r>
            <w:r>
              <w:rPr>
                <w:rFonts w:eastAsia="仿宋_GB2312"/>
                <w:kern w:val="0"/>
                <w:sz w:val="24"/>
                <w:lang w:bidi="ar"/>
              </w:rPr>
              <w:t>【数据来源】卫生健康统计年报、中医医疗管理统计年报。</w:t>
            </w:r>
          </w:p>
        </w:tc>
        <w:tc>
          <w:tcPr>
            <w:tcW w:w="1487" w:type="dxa"/>
            <w:noWrap w:val="0"/>
            <w:tcMar>
              <w:left w:w="6" w:type="dxa"/>
              <w:right w:w="6" w:type="dxa"/>
            </w:tcMar>
            <w:vAlign w:val="center"/>
          </w:tcPr>
          <w:p>
            <w:pPr>
              <w:widowControl/>
              <w:jc w:val="center"/>
              <w:textAlignment w:val="top"/>
              <w:rPr>
                <w:rFonts w:eastAsia="仿宋_GB2312"/>
                <w:sz w:val="24"/>
              </w:rPr>
            </w:pPr>
            <w:r>
              <w:rPr>
                <w:rFonts w:eastAsia="仿宋_GB2312"/>
                <w:kern w:val="0"/>
                <w:sz w:val="24"/>
                <w:lang w:bidi="ar"/>
              </w:rPr>
              <w:t>省监测指标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restart"/>
            <w:noWrap w:val="0"/>
            <w:vAlign w:val="center"/>
          </w:tcPr>
          <w:p>
            <w:pPr>
              <w:widowControl/>
              <w:textAlignment w:val="center"/>
              <w:rPr>
                <w:rFonts w:eastAsia="仿宋_GB2312"/>
                <w:sz w:val="24"/>
              </w:rPr>
            </w:pPr>
            <w:r>
              <w:rPr>
                <w:rFonts w:eastAsia="仿宋_GB2312"/>
                <w:kern w:val="0"/>
                <w:sz w:val="24"/>
                <w:lang w:bidi="ar"/>
              </w:rPr>
              <w:t>四、满意度评价</w:t>
            </w:r>
          </w:p>
        </w:tc>
        <w:tc>
          <w:tcPr>
            <w:tcW w:w="1155" w:type="dxa"/>
            <w:noWrap w:val="0"/>
            <w:vAlign w:val="center"/>
          </w:tcPr>
          <w:p>
            <w:pPr>
              <w:widowControl/>
              <w:textAlignment w:val="center"/>
              <w:rPr>
                <w:rFonts w:eastAsia="仿宋_GB2312"/>
                <w:sz w:val="24"/>
              </w:rPr>
            </w:pPr>
            <w:r>
              <w:rPr>
                <w:rFonts w:eastAsia="仿宋_GB2312"/>
                <w:kern w:val="0"/>
                <w:sz w:val="24"/>
                <w:lang w:bidi="ar"/>
              </w:rPr>
              <w:t>（九）服务对象满意度</w:t>
            </w:r>
          </w:p>
        </w:tc>
        <w:tc>
          <w:tcPr>
            <w:tcW w:w="1508" w:type="dxa"/>
            <w:noWrap w:val="0"/>
            <w:vAlign w:val="center"/>
          </w:tcPr>
          <w:p>
            <w:pPr>
              <w:widowControl/>
              <w:textAlignment w:val="center"/>
              <w:rPr>
                <w:rFonts w:eastAsia="仿宋_GB2312"/>
                <w:sz w:val="24"/>
              </w:rPr>
            </w:pPr>
            <w:r>
              <w:rPr>
                <w:rFonts w:eastAsia="仿宋_GB2312"/>
                <w:kern w:val="0"/>
                <w:sz w:val="24"/>
                <w:lang w:bidi="ar"/>
              </w:rPr>
              <w:t>49.服务对象满意度</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top"/>
              <w:rPr>
                <w:rFonts w:eastAsia="仿宋_GB2312"/>
                <w:kern w:val="0"/>
                <w:sz w:val="24"/>
                <w:lang w:bidi="ar"/>
              </w:rPr>
            </w:pPr>
            <w:r>
              <w:rPr>
                <w:rFonts w:eastAsia="仿宋_GB2312"/>
                <w:kern w:val="0"/>
                <w:sz w:val="24"/>
                <w:lang w:bidi="ar"/>
              </w:rPr>
              <w:t>该指标按同类机构得分排名依次减少，具体按省（区、市）规定的相关要求。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1）重点人群满意度=评价满意的被调查重点人群人数/接受调查的被调查重点人群总数×100%；重点人群包括门诊患者和接受基本公共卫生服务的重点人群，满意度问卷维度包括对基本医疗和基本公共卫生服务的可及性、经济性、舒适性、安全性和总体满意度情况等</w:t>
            </w:r>
            <w:r>
              <w:rPr>
                <w:rFonts w:hint="eastAsia" w:eastAsia="仿宋_GB2312"/>
                <w:kern w:val="0"/>
                <w:sz w:val="24"/>
                <w:lang w:bidi="ar"/>
              </w:rPr>
              <w:t>；</w:t>
            </w:r>
          </w:p>
          <w:p>
            <w:pPr>
              <w:widowControl/>
              <w:textAlignment w:val="top"/>
              <w:rPr>
                <w:rFonts w:eastAsia="仿宋_GB2312"/>
                <w:sz w:val="24"/>
              </w:rPr>
            </w:pPr>
            <w:r>
              <w:rPr>
                <w:rFonts w:eastAsia="仿宋_GB2312"/>
                <w:kern w:val="0"/>
                <w:sz w:val="24"/>
                <w:lang w:bidi="ar"/>
              </w:rPr>
              <w:t>（2）住院患者满意度=评价满意的被调查住院患者人数/接受调查的住院患者总数×100%；住院患者满意度问卷维度包括医患沟通、医务人员回应性、出入院手续和信息、用药沟通、环境与标识、饭菜质量、对亲友态度等。</w:t>
            </w:r>
            <w:r>
              <w:rPr>
                <w:rFonts w:eastAsia="仿宋_GB2312"/>
                <w:kern w:val="0"/>
                <w:sz w:val="24"/>
                <w:lang w:bidi="ar"/>
              </w:rPr>
              <w:br w:type="textWrapping"/>
            </w:r>
            <w:r>
              <w:rPr>
                <w:rFonts w:eastAsia="仿宋_GB2312"/>
                <w:kern w:val="0"/>
                <w:sz w:val="24"/>
                <w:lang w:bidi="ar"/>
              </w:rPr>
              <w:t>【数据来源】县（市、区）卫生健康行政部门。</w:t>
            </w:r>
          </w:p>
        </w:tc>
        <w:tc>
          <w:tcPr>
            <w:tcW w:w="1487" w:type="dxa"/>
            <w:noWrap w:val="0"/>
            <w:tcMar>
              <w:left w:w="6" w:type="dxa"/>
              <w:right w:w="6" w:type="dxa"/>
            </w:tcMar>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18" w:type="dxa"/>
            <w:vMerge w:val="continue"/>
            <w:noWrap w:val="0"/>
            <w:vAlign w:val="center"/>
          </w:tcPr>
          <w:p>
            <w:pPr>
              <w:rPr>
                <w:rFonts w:eastAsia="仿宋_GB2312"/>
                <w:sz w:val="24"/>
              </w:rPr>
            </w:pPr>
          </w:p>
        </w:tc>
        <w:tc>
          <w:tcPr>
            <w:tcW w:w="1155" w:type="dxa"/>
            <w:noWrap w:val="0"/>
            <w:vAlign w:val="center"/>
          </w:tcPr>
          <w:p>
            <w:pPr>
              <w:widowControl/>
              <w:textAlignment w:val="center"/>
              <w:rPr>
                <w:rFonts w:eastAsia="仿宋_GB2312"/>
                <w:sz w:val="24"/>
              </w:rPr>
            </w:pPr>
            <w:r>
              <w:rPr>
                <w:rFonts w:eastAsia="仿宋_GB2312"/>
                <w:kern w:val="0"/>
                <w:sz w:val="24"/>
                <w:lang w:bidi="ar"/>
              </w:rPr>
              <w:t>（十）医务人员满意度</w:t>
            </w:r>
          </w:p>
        </w:tc>
        <w:tc>
          <w:tcPr>
            <w:tcW w:w="1508" w:type="dxa"/>
            <w:noWrap w:val="0"/>
            <w:vAlign w:val="center"/>
          </w:tcPr>
          <w:p>
            <w:pPr>
              <w:widowControl/>
              <w:textAlignment w:val="center"/>
              <w:rPr>
                <w:rFonts w:eastAsia="仿宋_GB2312"/>
                <w:sz w:val="24"/>
              </w:rPr>
            </w:pPr>
            <w:r>
              <w:rPr>
                <w:rFonts w:eastAsia="仿宋_GB2312"/>
                <w:kern w:val="0"/>
                <w:sz w:val="24"/>
                <w:lang w:bidi="ar"/>
              </w:rPr>
              <w:t>50.医务人员满意度</w:t>
            </w:r>
          </w:p>
        </w:tc>
        <w:tc>
          <w:tcPr>
            <w:tcW w:w="1250" w:type="dxa"/>
            <w:noWrap w:val="0"/>
            <w:vAlign w:val="center"/>
          </w:tcPr>
          <w:p>
            <w:pPr>
              <w:widowControl/>
              <w:jc w:val="center"/>
              <w:textAlignment w:val="center"/>
              <w:rPr>
                <w:rFonts w:eastAsia="仿宋_GB2312"/>
                <w:sz w:val="24"/>
              </w:rPr>
            </w:pPr>
            <w:r>
              <w:rPr>
                <w:rFonts w:eastAsia="仿宋_GB2312"/>
                <w:kern w:val="0"/>
                <w:sz w:val="24"/>
                <w:lang w:bidi="ar"/>
              </w:rPr>
              <w:t>定量</w:t>
            </w:r>
          </w:p>
        </w:tc>
        <w:tc>
          <w:tcPr>
            <w:tcW w:w="8120" w:type="dxa"/>
            <w:noWrap w:val="0"/>
            <w:vAlign w:val="center"/>
          </w:tcPr>
          <w:p>
            <w:pPr>
              <w:widowControl/>
              <w:textAlignment w:val="top"/>
              <w:rPr>
                <w:rFonts w:eastAsia="仿宋_GB2312"/>
                <w:sz w:val="24"/>
              </w:rPr>
            </w:pPr>
            <w:r>
              <w:rPr>
                <w:rFonts w:eastAsia="仿宋_GB2312"/>
                <w:kern w:val="0"/>
                <w:sz w:val="24"/>
                <w:lang w:bidi="ar"/>
              </w:rPr>
              <w:t>该指标按同类机构得分排名依次减少，具体按省（区、市）规定的相关要求。</w:t>
            </w:r>
            <w:r>
              <w:rPr>
                <w:rFonts w:eastAsia="仿宋_GB2312"/>
                <w:kern w:val="0"/>
                <w:sz w:val="24"/>
                <w:lang w:bidi="ar"/>
              </w:rPr>
              <w:br w:type="textWrapping"/>
            </w:r>
            <w:r>
              <w:rPr>
                <w:rFonts w:eastAsia="仿宋_GB2312"/>
                <w:kern w:val="0"/>
                <w:sz w:val="24"/>
                <w:lang w:bidi="ar"/>
              </w:rPr>
              <w:t>【计算方法】</w:t>
            </w:r>
            <w:r>
              <w:rPr>
                <w:rFonts w:eastAsia="仿宋_GB2312"/>
                <w:kern w:val="0"/>
                <w:sz w:val="24"/>
                <w:lang w:bidi="ar"/>
              </w:rPr>
              <w:br w:type="textWrapping"/>
            </w:r>
            <w:r>
              <w:rPr>
                <w:rFonts w:eastAsia="仿宋_GB2312"/>
                <w:kern w:val="0"/>
                <w:sz w:val="24"/>
                <w:lang w:bidi="ar"/>
              </w:rPr>
              <w:t>医务人员满意度=评价满意的被调查医务人员人数/接受调查的医务人员总数×100%；医务人员满意度问卷维度包括工作环境、机构管理、工资待遇、培训机会、职称晋升、发展前景等。</w:t>
            </w:r>
            <w:r>
              <w:rPr>
                <w:rFonts w:eastAsia="仿宋_GB2312"/>
                <w:kern w:val="0"/>
                <w:sz w:val="24"/>
                <w:lang w:bidi="ar"/>
              </w:rPr>
              <w:br w:type="textWrapping"/>
            </w:r>
            <w:r>
              <w:rPr>
                <w:rFonts w:eastAsia="仿宋_GB2312"/>
                <w:kern w:val="0"/>
                <w:sz w:val="24"/>
                <w:lang w:bidi="ar"/>
              </w:rPr>
              <w:t>【数据来源】县（市、区）卫生健康行政部门。</w:t>
            </w:r>
          </w:p>
        </w:tc>
        <w:tc>
          <w:tcPr>
            <w:tcW w:w="1487" w:type="dxa"/>
            <w:noWrap w:val="0"/>
            <w:tcMar>
              <w:left w:w="6" w:type="dxa"/>
              <w:right w:w="6" w:type="dxa"/>
            </w:tcMar>
            <w:vAlign w:val="center"/>
          </w:tcPr>
          <w:p>
            <w:pPr>
              <w:jc w:val="center"/>
              <w:rPr>
                <w:rFonts w:eastAsia="仿宋_GB2312"/>
                <w:sz w:val="24"/>
              </w:rPr>
            </w:pPr>
          </w:p>
        </w:tc>
      </w:tr>
    </w:tbl>
    <w:p>
      <w:pPr>
        <w:pStyle w:val="3"/>
        <w:widowControl/>
        <w:spacing w:beforeAutospacing="0" w:afterAutospacing="0" w:line="400" w:lineRule="exact"/>
        <w:jc w:val="both"/>
        <w:rPr>
          <w:rFonts w:eastAsia="仿宋_GB2312"/>
          <w:lang w:bidi="ar"/>
        </w:rPr>
      </w:pPr>
      <w:r>
        <w:rPr>
          <w:rFonts w:hint="eastAsia" w:ascii="黑体" w:hAnsi="黑体" w:eastAsia="黑体" w:cs="黑体"/>
          <w:lang w:bidi="ar"/>
        </w:rPr>
        <w:t>注：</w:t>
      </w:r>
      <w:r>
        <w:rPr>
          <w:rFonts w:eastAsia="仿宋_GB2312"/>
          <w:lang w:bidi="ar"/>
        </w:rPr>
        <w:t>1.省监测指标包括国家10个监测指标，试行期间将根据需求适当调整指标数量。</w:t>
      </w:r>
    </w:p>
    <w:p>
      <w:pPr>
        <w:pStyle w:val="3"/>
        <w:widowControl/>
        <w:numPr>
          <w:ilvl w:val="0"/>
          <w:numId w:val="1"/>
        </w:numPr>
        <w:spacing w:beforeAutospacing="0" w:afterAutospacing="0" w:line="400" w:lineRule="exact"/>
        <w:ind w:firstLine="480" w:firstLineChars="200"/>
        <w:jc w:val="both"/>
        <w:rPr>
          <w:rFonts w:eastAsia="仿宋_GB2312"/>
          <w:lang w:bidi="ar"/>
        </w:rPr>
      </w:pPr>
      <w:r>
        <w:rPr>
          <w:rFonts w:eastAsia="仿宋_GB2312"/>
          <w:lang w:bidi="ar"/>
        </w:rPr>
        <w:t>县级卫生健康行政部门对医共体（基层医疗卫生机构）的绩效考核原则上要覆盖所有三级指标（仅为省、市对县监测的5</w:t>
      </w:r>
    </w:p>
    <w:p>
      <w:pPr>
        <w:pStyle w:val="3"/>
        <w:widowControl/>
        <w:spacing w:beforeAutospacing="0" w:afterAutospacing="0" w:line="400" w:lineRule="exact"/>
        <w:ind w:firstLine="669" w:firstLineChars="279"/>
        <w:jc w:val="both"/>
        <w:rPr>
          <w:rFonts w:eastAsia="仿宋_GB2312"/>
          <w:sz w:val="30"/>
          <w:szCs w:val="30"/>
        </w:rPr>
      </w:pPr>
      <w:r>
        <w:rPr>
          <w:rFonts w:eastAsia="仿宋_GB2312"/>
          <w:lang w:bidi="ar"/>
        </w:rPr>
        <w:t>个指标除外）。对指标说明中的细分项，可根据本地实际确定全部或部分作为年度考核内容。</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27321"/>
    <w:multiLevelType w:val="singleLevel"/>
    <w:tmpl w:val="5FA2732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977B4"/>
    <w:rsid w:val="77E9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unhideWhenUsed/>
    <w:uiPriority w:val="99"/>
    <w:pPr>
      <w:spacing w:beforeAutospacing="1" w:afterAutospacing="1"/>
      <w:jc w:val="left"/>
    </w:pPr>
    <w:rPr>
      <w:rFonts w:cs="Times New Roman"/>
      <w:kern w:val="0"/>
      <w:sz w:val="24"/>
    </w:rPr>
  </w:style>
  <w:style w:type="character" w:styleId="6">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2020-12-31T03:43:00Z</dcterms:created>
  <dc:creator>admin</dc:creator>
  <cp:lastModifiedBy>admin</cp:lastModifiedBy>
  <dcterms:modified xsi:type="dcterms:W3CDTF">2020-12-31T03:43:54Z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