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eastAsia="方正小标宋简体"/>
          <w:b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</w:rPr>
        <w:t>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浙江省卫生行政处罚裁量适用办法</w:t>
      </w:r>
      <w:r>
        <w:rPr>
          <w:rFonts w:hint="eastAsia" w:ascii="Times New Roman" w:hAnsi="Times New Roman" w:eastAsia="方正小标宋简体"/>
          <w:sz w:val="44"/>
          <w:szCs w:val="44"/>
        </w:rPr>
        <w:t>》</w:t>
      </w:r>
      <w:r>
        <w:rPr>
          <w:rFonts w:ascii="Times New Roman" w:hAnsi="Times New Roman" w:eastAsia="方正小标宋简体"/>
          <w:sz w:val="44"/>
          <w:szCs w:val="44"/>
        </w:rPr>
        <w:t>起草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firstLine="2907" w:firstLineChars="900"/>
        <w:textAlignment w:val="auto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left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40" w:lineRule="atLeast"/>
        <w:ind w:leftChars="200" w:firstLine="323" w:firstLineChars="1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/>
          <w:sz w:val="32"/>
          <w:szCs w:val="32"/>
          <w:lang w:eastAsia="zh-CN"/>
        </w:rPr>
        <w:t>背景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right="0" w:firstLine="646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规范行政处罚自由裁量权是规范行政执法的一项重要内容。卫生健康行政处罚自由裁量权，是指卫生健康行政部门在实施行政处罚时，在法律、法规和规章规定的种类和幅度内，综合考虑违法事实、性质、情节和社会危害程度等因素，依法决定是否予以行政处罚、给予何种处罚和给予何种幅度行政处罚的权限。行政执法是卫生健康行政管理的重要手段，卫生健康行政执法机构及其执法人员能否正确、合法、合理地行使行政处罚自由裁量权，直接影响到卫生健康法律、法规、规章的有效实施，关系到行政相对人的切身利益。全面规范行政处罚自由裁量权，合理限定行政处罚裁量幅度，既是卫生健康政执法机关规范行政权力和行政执法行为、进一步推进依法行政工作的需要，也是构建预防和惩治腐败体系的需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640" w:lineRule="atLeast"/>
        <w:ind w:leftChars="200" w:firstLine="323" w:firstLineChars="1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atLeast"/>
        <w:ind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(一)法规政策调整对行政处罚提出了新的要求。2021 年1月22日，十三届全国人大常委会第二十五次会议通过了行政处罚法修订草案，于2021年7月15日起施行。新修订的行政处罚法增加了行政处罚的定义，扩大了行政处罚的种类，完善了行政处罚的适用、程序、执行等。2021年11 月15日，国务院印发了关于进一步贯彻实施《中华人民共和国行政处罚法的通知》(国发〔2021〕26号)，要求要进一步规范行政处罚的实施。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180" w:lineRule="atLeast"/>
        <w:ind w:left="0" w:right="0" w:firstLine="420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(二）近年来，新出台、新修订了多部涉及卫生健康领域的法律法规规章，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如《医师法》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2022年3月1日起施行，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《基本医疗卫生与健康促进法》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月1日起施行，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《护士条例》2020年3月27日修订，《医疗器械临床使用管理办法》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2021年3月1日起施行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等，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卫生行政执法依据的法律条款较以往有了很大的变化。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6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leftChars="0"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《办法》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共二十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条，包含附件</w:t>
      </w:r>
      <w:r>
        <w:rPr>
          <w:rFonts w:hint="eastAsia" w:ascii="仿宋_GB2312" w:hAnsi="Calibri" w:eastAsia="仿宋_GB2312"/>
          <w:sz w:val="32"/>
          <w:szCs w:val="32"/>
        </w:rPr>
        <w:t>《浙江省卫生行政处罚自由裁量基准》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6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正文主要内容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leftChars="0"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一是明确了《办法》适用范围。即第二条规定“本省各级卫生健康行政部门在实施行政处罚并就法律适用、处罚种类以及处罚幅度等行使裁量时，适用本办法”。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是明确了行政处罚自由裁量权应当遵循的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原则。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即第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三条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规定了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四个一般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原则；第四条规定了一事不二罚原则。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leftChars="0"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是明确了罚款裁量原则。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第五条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规定了罚款裁量应当充分全面考虑本省社会经济发展水平，并起到相应的惩戒效果。罚款裁量幅度一般按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三个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规则进行等级划分。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是行使行政处罚自由裁量权的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种情节。第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条规定了依法不予行政处罚的情形；第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条规定了可以不予处罚情形；第八条定了依法教育的情形；第九条规定了依法从轻或者减轻的情形；第十条规定了可以从轻处罚情形；第十一条规定了从重行政处罚的情形;第十二条规定了可以从重处罚情形；第十三条规定了不再作为从重情形；第十四条规定了从旧兼从轻情形；第十五条规定了裁量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对行政处罚的关键环节提出相关要求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。第十六条　规定了证据采集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的要求；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第十七条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说明理由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的要求；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第十八条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集体讨论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的要求；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第十九条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陈述申辩意见处理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明确了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考核监督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责任追究。第二十条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各级卫生健康行政部门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规范本部门行政处罚裁量工作，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发现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行政处罚裁量违法或行使不当的，应当及时纠正。第二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十一条规定了追究过错责任。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 xml:space="preserve">推进长三角卫生行政执法一体化建设。第二十二条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明确要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探索通过建立统一的卫生行政处罚裁量办法和规则，逐步统一长三角卫生健康执法尺度和标准。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6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（二）附件主要内容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atLeast"/>
        <w:ind w:left="0" w:leftChars="0" w:firstLine="646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/>
          <w:sz w:val="32"/>
          <w:szCs w:val="32"/>
        </w:rPr>
        <w:t>《浙江省卫生行政处罚自由裁量基准》将涉及卫生系统法律法规规章分为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Calibri" w:eastAsia="仿宋_GB2312"/>
          <w:sz w:val="32"/>
          <w:szCs w:val="32"/>
        </w:rPr>
        <w:t>大类，分别为传染病防治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卫生、爱国卫生、学校卫生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公共场所卫生、饮用水卫生、</w:t>
      </w:r>
      <w:r>
        <w:rPr>
          <w:rFonts w:hint="eastAsia" w:ascii="仿宋_GB2312" w:hAnsi="Calibri" w:eastAsia="仿宋_GB2312"/>
          <w:sz w:val="32"/>
          <w:szCs w:val="32"/>
        </w:rPr>
        <w:t>职业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卫生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放射卫生监督、</w:t>
      </w:r>
      <w:r>
        <w:rPr>
          <w:rFonts w:hint="eastAsia" w:ascii="仿宋_GB2312" w:hAnsi="Calibri" w:eastAsia="仿宋_GB2312"/>
          <w:sz w:val="32"/>
          <w:szCs w:val="32"/>
        </w:rPr>
        <w:t>医疗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卫生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，按照</w:t>
      </w:r>
      <w:r>
        <w:rPr>
          <w:rFonts w:hint="eastAsia" w:ascii="仿宋_GB2312" w:hAnsi="Calibri" w:eastAsia="仿宋_GB2312"/>
          <w:sz w:val="32"/>
          <w:szCs w:val="32"/>
        </w:rPr>
        <w:t>法律法规规章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相关规定和本办法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规定，根据违法情节明确了</w:t>
      </w:r>
      <w:r>
        <w:rPr>
          <w:rFonts w:hint="eastAsia" w:ascii="仿宋_GB2312" w:eastAsia="仿宋_GB2312"/>
          <w:sz w:val="32"/>
          <w:szCs w:val="32"/>
        </w:rPr>
        <w:t>较轻、一般、较重</w:t>
      </w:r>
      <w:r>
        <w:rPr>
          <w:rFonts w:hint="eastAsia" w:ascii="仿宋_GB2312" w:eastAsia="仿宋_GB2312"/>
          <w:sz w:val="32"/>
          <w:szCs w:val="32"/>
          <w:lang w:eastAsia="zh-CN"/>
        </w:rPr>
        <w:t>三个层次的违法程度，并按照本办法规定的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裁量系数较轻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30%以下</w:t>
      </w:r>
      <w:r>
        <w:rPr>
          <w:rFonts w:hint="eastAsia" w:ascii="仿宋_GB2312" w:eastAsia="仿宋_GB2312"/>
          <w:sz w:val="32"/>
          <w:szCs w:val="32"/>
        </w:rPr>
        <w:t>）、一般（30%</w:t>
      </w:r>
      <w:r>
        <w:rPr>
          <w:rFonts w:hint="eastAsia" w:ascii="仿宋_GB2312" w:hAnsi="仿宋_GB2312" w:eastAsia="仿宋_GB2312"/>
          <w:sz w:val="32"/>
          <w:szCs w:val="32"/>
        </w:rPr>
        <w:t>至70%</w:t>
      </w:r>
      <w:r>
        <w:rPr>
          <w:rFonts w:hint="eastAsia" w:ascii="仿宋_GB2312" w:eastAsia="仿宋_GB2312"/>
          <w:sz w:val="32"/>
          <w:szCs w:val="32"/>
        </w:rPr>
        <w:t>）、较重（70%</w:t>
      </w:r>
      <w:r>
        <w:rPr>
          <w:rFonts w:hint="eastAsia" w:ascii="仿宋_GB2312" w:hAnsi="仿宋_GB2312" w:eastAsia="仿宋_GB2312"/>
          <w:sz w:val="32"/>
          <w:szCs w:val="32"/>
        </w:rPr>
        <w:t>以上至100%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明确了裁量幅度。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6" w:firstLineChars="200"/>
        <w:jc w:val="left"/>
        <w:textAlignment w:val="auto"/>
        <w:rPr>
          <w:rFonts w:hint="default" w:ascii="仿宋_GB2312" w:hAnsi="Calibri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6761"/>
    <w:multiLevelType w:val="singleLevel"/>
    <w:tmpl w:val="7E4D67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D"/>
    <w:rsid w:val="00020A9F"/>
    <w:rsid w:val="00034D93"/>
    <w:rsid w:val="000E5451"/>
    <w:rsid w:val="0010274D"/>
    <w:rsid w:val="0012735D"/>
    <w:rsid w:val="00167972"/>
    <w:rsid w:val="0021720A"/>
    <w:rsid w:val="002268E9"/>
    <w:rsid w:val="00237221"/>
    <w:rsid w:val="00243557"/>
    <w:rsid w:val="00281833"/>
    <w:rsid w:val="002F2F0A"/>
    <w:rsid w:val="00301189"/>
    <w:rsid w:val="00430FA9"/>
    <w:rsid w:val="004B68C6"/>
    <w:rsid w:val="005177D9"/>
    <w:rsid w:val="005314F3"/>
    <w:rsid w:val="00535B93"/>
    <w:rsid w:val="005512D7"/>
    <w:rsid w:val="005619B1"/>
    <w:rsid w:val="00566C6A"/>
    <w:rsid w:val="00644B31"/>
    <w:rsid w:val="00644D7D"/>
    <w:rsid w:val="00657089"/>
    <w:rsid w:val="006D14AB"/>
    <w:rsid w:val="0074184F"/>
    <w:rsid w:val="007D6AC1"/>
    <w:rsid w:val="007F2306"/>
    <w:rsid w:val="008316D3"/>
    <w:rsid w:val="00863E95"/>
    <w:rsid w:val="00893462"/>
    <w:rsid w:val="008A763F"/>
    <w:rsid w:val="008B0EF6"/>
    <w:rsid w:val="008B658C"/>
    <w:rsid w:val="008D0578"/>
    <w:rsid w:val="009205B1"/>
    <w:rsid w:val="00961C28"/>
    <w:rsid w:val="009B0A82"/>
    <w:rsid w:val="009B3792"/>
    <w:rsid w:val="009D6A80"/>
    <w:rsid w:val="00A32D8E"/>
    <w:rsid w:val="00A65A1D"/>
    <w:rsid w:val="00A91C19"/>
    <w:rsid w:val="00A95596"/>
    <w:rsid w:val="00AD1DFD"/>
    <w:rsid w:val="00AD5697"/>
    <w:rsid w:val="00B90D99"/>
    <w:rsid w:val="00B917DD"/>
    <w:rsid w:val="00BF7647"/>
    <w:rsid w:val="00C13EE5"/>
    <w:rsid w:val="00C454DE"/>
    <w:rsid w:val="00C705A1"/>
    <w:rsid w:val="00C93659"/>
    <w:rsid w:val="00CD29E3"/>
    <w:rsid w:val="00DA4A89"/>
    <w:rsid w:val="00DD6FC6"/>
    <w:rsid w:val="00E31AF1"/>
    <w:rsid w:val="00E530C4"/>
    <w:rsid w:val="00E562A0"/>
    <w:rsid w:val="00EE5BD9"/>
    <w:rsid w:val="00EE7C10"/>
    <w:rsid w:val="00F20120"/>
    <w:rsid w:val="00F42311"/>
    <w:rsid w:val="00F564EB"/>
    <w:rsid w:val="00FB7B09"/>
    <w:rsid w:val="079769B8"/>
    <w:rsid w:val="0AB01D6C"/>
    <w:rsid w:val="132B11E3"/>
    <w:rsid w:val="14AA0E1B"/>
    <w:rsid w:val="208C3F4C"/>
    <w:rsid w:val="21B866EC"/>
    <w:rsid w:val="22074C35"/>
    <w:rsid w:val="22B937F4"/>
    <w:rsid w:val="2AA45A5D"/>
    <w:rsid w:val="2B8463A9"/>
    <w:rsid w:val="3077276B"/>
    <w:rsid w:val="30DF0F1E"/>
    <w:rsid w:val="31B95C48"/>
    <w:rsid w:val="35B802D5"/>
    <w:rsid w:val="37E32ECE"/>
    <w:rsid w:val="3AF51BC3"/>
    <w:rsid w:val="3DA126AD"/>
    <w:rsid w:val="405A18EB"/>
    <w:rsid w:val="427A5D79"/>
    <w:rsid w:val="45346CB5"/>
    <w:rsid w:val="487F334E"/>
    <w:rsid w:val="48D822C9"/>
    <w:rsid w:val="4AF53B3E"/>
    <w:rsid w:val="548B35D5"/>
    <w:rsid w:val="6A515A3D"/>
    <w:rsid w:val="6A5C014E"/>
    <w:rsid w:val="7FE11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Autospacing="1" w:after="100" w:afterAutospacing="1" w:line="460" w:lineRule="exact"/>
      <w:jc w:val="center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00" w:beforeAutospacing="1" w:after="100" w:afterAutospacing="1" w:line="460" w:lineRule="exact"/>
      <w:ind w:firstLine="200" w:firstLineChars="200"/>
      <w:jc w:val="left"/>
      <w:outlineLvl w:val="1"/>
    </w:pPr>
    <w:rPr>
      <w:rFonts w:ascii="Arial" w:hAnsi="Arial"/>
      <w:b/>
      <w:bCs/>
      <w:sz w:val="24"/>
      <w:szCs w:val="32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 w:line="460" w:lineRule="exact"/>
      <w:ind w:firstLine="200" w:firstLineChars="200"/>
      <w:jc w:val="left"/>
      <w:outlineLvl w:val="2"/>
    </w:pPr>
    <w:rPr>
      <w:b/>
      <w:bCs/>
      <w:sz w:val="24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6">
    <w:name w:val="toc 3"/>
    <w:basedOn w:val="1"/>
    <w:next w:val="1"/>
    <w:qFormat/>
    <w:uiPriority w:val="39"/>
    <w:pPr>
      <w:tabs>
        <w:tab w:val="right" w:leader="dot" w:pos="13948"/>
      </w:tabs>
      <w:ind w:left="420"/>
      <w:jc w:val="center"/>
    </w:pPr>
    <w:rPr>
      <w:rFonts w:ascii="宋体" w:hAnsi="宋体"/>
      <w:b/>
      <w:sz w:val="44"/>
      <w:szCs w:val="44"/>
    </w:rPr>
  </w:style>
  <w:style w:type="paragraph" w:styleId="7">
    <w:name w:val="Body Text Indent 2"/>
    <w:basedOn w:val="1"/>
    <w:qFormat/>
    <w:uiPriority w:val="0"/>
    <w:pPr>
      <w:spacing w:line="480" w:lineRule="exact"/>
      <w:ind w:firstLine="435"/>
    </w:pPr>
    <w:rPr>
      <w:b/>
      <w:bCs/>
      <w:szCs w:val="24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uiPriority w:val="99"/>
    <w:rPr>
      <w:color w:val="005C81"/>
      <w:u w:val="none"/>
    </w:rPr>
  </w:style>
  <w:style w:type="character" w:styleId="17">
    <w:name w:val="Emphasis"/>
    <w:basedOn w:val="15"/>
    <w:qFormat/>
    <w:uiPriority w:val="20"/>
  </w:style>
  <w:style w:type="character" w:styleId="18">
    <w:name w:val="Hyperlink"/>
    <w:basedOn w:val="15"/>
    <w:semiHidden/>
    <w:unhideWhenUsed/>
    <w:uiPriority w:val="99"/>
    <w:rPr>
      <w:color w:val="005C81"/>
      <w:u w:val="none"/>
    </w:rPr>
  </w:style>
  <w:style w:type="character" w:customStyle="1" w:styleId="19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Char"/>
    <w:basedOn w:val="15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307</Words>
  <Characters>1753</Characters>
  <Lines>14</Lines>
  <Paragraphs>4</Paragraphs>
  <TotalTime>1</TotalTime>
  <ScaleCrop>false</ScaleCrop>
  <LinksUpToDate>false</LinksUpToDate>
  <CharactersWithSpaces>2056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2018-02-13T03:44:00Z</dcterms:created>
  <dc:creator>SONY</dc:creator>
  <cp:lastModifiedBy>appe</cp:lastModifiedBy>
  <cp:lastPrinted>2019-10-31T00:57:00Z</cp:lastPrinted>
  <dcterms:modified xsi:type="dcterms:W3CDTF">2022-10-18T00:59:25Z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