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>
      <w:pPr>
        <w:spacing w:line="660" w:lineRule="exact"/>
        <w:rPr>
          <w:rFonts w:eastAsia="黑体"/>
          <w:color w:val="000000"/>
          <w:sz w:val="32"/>
          <w:szCs w:val="32"/>
        </w:rPr>
      </w:pPr>
    </w:p>
    <w:p>
      <w:pPr>
        <w:spacing w:line="660" w:lineRule="exact"/>
        <w:ind w:firstLine="132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省级有关单位名单</w:t>
      </w:r>
    </w:p>
    <w:p>
      <w:pPr>
        <w:spacing w:line="660" w:lineRule="exact"/>
        <w:ind w:firstLine="1320"/>
        <w:rPr>
          <w:rFonts w:eastAsia="方正小标宋简体"/>
          <w:color w:val="000000"/>
          <w:sz w:val="44"/>
          <w:szCs w:val="44"/>
        </w:rPr>
      </w:pPr>
    </w:p>
    <w:p>
      <w:pPr>
        <w:spacing w:line="660" w:lineRule="exact"/>
        <w:ind w:firstLine="1320"/>
        <w:rPr>
          <w:rFonts w:eastAsia="仿宋_GB2312"/>
          <w:color w:val="000000"/>
          <w:sz w:val="32"/>
          <w:szCs w:val="32"/>
        </w:rPr>
      </w:pPr>
      <w:r>
        <w:rPr>
          <w:rFonts w:eastAsia="方正小标宋简体"/>
          <w:color w:val="000000"/>
          <w:sz w:val="44"/>
          <w:szCs w:val="44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省委宣传部、省文明办、省</w:t>
      </w:r>
      <w:r>
        <w:rPr>
          <w:rFonts w:eastAsia="仿宋_GB2312"/>
          <w:color w:val="000000"/>
          <w:sz w:val="32"/>
          <w:szCs w:val="32"/>
          <w:lang w:eastAsia="zh"/>
        </w:rPr>
        <w:t>直</w:t>
      </w:r>
      <w:r>
        <w:rPr>
          <w:rFonts w:eastAsia="仿宋_GB2312"/>
          <w:color w:val="000000"/>
          <w:sz w:val="32"/>
          <w:szCs w:val="32"/>
        </w:rPr>
        <w:t>机关工委、省经信厅、省教育厅、省交通运输厅、省文化和旅游厅、省市场监管局、省广电局、省体育局、省药监局、省总工会、团省委、省妇联、省科协、省红十字会、省烟草专卖局、省计生协会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E519C"/>
    <w:rsid w:val="17E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2021-06-01T06:37:00Z</dcterms:created>
  <dc:creator>admin</dc:creator>
  <cp:lastModifiedBy>admin</cp:lastModifiedBy>
  <dcterms:modified xsi:type="dcterms:W3CDTF">2021-06-01T06:37:38Z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