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</w:rPr>
        <w:t>立项情况汇总表</w:t>
      </w:r>
    </w:p>
    <w:p>
      <w:pPr>
        <w:jc w:val="center"/>
        <w:rPr>
          <w:rFonts w:eastAsia="文鼎小标宋简"/>
          <w:spacing w:val="40"/>
          <w:sz w:val="44"/>
          <w:szCs w:val="44"/>
        </w:rPr>
      </w:pPr>
    </w:p>
    <w:tbl>
      <w:tblPr>
        <w:tblStyle w:val="2"/>
        <w:tblW w:w="9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1"/>
        <w:gridCol w:w="958"/>
        <w:gridCol w:w="1058"/>
        <w:gridCol w:w="1035"/>
        <w:gridCol w:w="115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428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单位/地区</w:t>
            </w:r>
          </w:p>
        </w:tc>
        <w:tc>
          <w:tcPr>
            <w:tcW w:w="95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立项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总数</w:t>
            </w:r>
          </w:p>
        </w:tc>
        <w:tc>
          <w:tcPr>
            <w:tcW w:w="4307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分类项数量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428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创新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面上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新技术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产品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研发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适宜技术培育推广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直属单位合计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省人民医院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省肿瘤医院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省疾病预防控制中心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杭州医学院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省血液中心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省立同德医院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省干部保健中心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省医疗服务管理评价中心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浙江省省级医院管理中心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浙江大学医学院合计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校本部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浙江大学医学院附属第一医院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浙江大学医学院附属第二医院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浙江大学医学院附属邵逸夫医院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浙江大学医学院附属儿童医院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浙江大学医学院附属妇产科医院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浙江大学医学院附属口腔医院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浙江大学医学院附属第四医院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温州医科大学合计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校本部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温州医科大学附属第一医院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温州医科大学附属第二医院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温州医科大学附属眼视光医院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浙江中医药大学合计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校本部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浙江中医药大学附属第一医院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浙江中医药大学附属第二医院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浙江中医药大学附属第三医院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市合计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778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杭州市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宁波市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温州市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湖州市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嘉兴市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绍兴市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舟山市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金华市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衢州市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台州市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丽水市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1561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1247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47AB"/>
    <w:rsid w:val="3E4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2020-12-31T03:08:00Z</dcterms:created>
  <dc:creator>admin</dc:creator>
  <cp:lastModifiedBy>admin</cp:lastModifiedBy>
  <dcterms:modified xsi:type="dcterms:W3CDTF">2020-12-31T03:09:18Z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