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2021年度浙江省中医药现代化专项项目</w:t>
      </w:r>
    </w:p>
    <w:p>
      <w:pPr>
        <w:jc w:val="center"/>
        <w:rPr>
          <w:sz w:val="44"/>
          <w:szCs w:val="44"/>
        </w:rPr>
      </w:pPr>
    </w:p>
    <w:tbl>
      <w:tblPr>
        <w:tblStyle w:val="4"/>
        <w:tblW w:w="15024" w:type="dxa"/>
        <w:jc w:val="center"/>
        <w:tblInd w:w="-6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1357"/>
        <w:gridCol w:w="6464"/>
        <w:gridCol w:w="2216"/>
        <w:gridCol w:w="1186"/>
        <w:gridCol w:w="3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6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  <w:t>号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4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-14"/>
                <w:kern w:val="0"/>
                <w:sz w:val="28"/>
                <w:szCs w:val="28"/>
              </w:rPr>
              <w:t>研究起止时间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2021ZX001</w:t>
            </w:r>
          </w:p>
        </w:tc>
        <w:tc>
          <w:tcPr>
            <w:tcW w:w="6464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健脾解郁法快速抗抑郁机制及临床方案优化研究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浙江省立同德医院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章健民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2021ZX002</w:t>
            </w:r>
          </w:p>
        </w:tc>
        <w:tc>
          <w:tcPr>
            <w:tcW w:w="6464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浙江道地药用桑树品种优化栽培及药用产品加工技术示范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浙江省立同德医院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祝永强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2021ZX003</w:t>
            </w:r>
          </w:p>
        </w:tc>
        <w:tc>
          <w:tcPr>
            <w:tcW w:w="6464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冬病夏治治疗哮喘缓解期脾肾阳虚证的临床规范化研究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浙江省立同德医院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柴秀娟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2021ZX004</w:t>
            </w:r>
          </w:p>
        </w:tc>
        <w:tc>
          <w:tcPr>
            <w:tcW w:w="6464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新“浙八味”培育品种衢枳壳的道地性及规范化栽培技术集成与示范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杭州医学院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叶益萍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2021ZX005</w:t>
            </w:r>
          </w:p>
        </w:tc>
        <w:tc>
          <w:tcPr>
            <w:tcW w:w="6464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以腹型肥胖为基础的慢性病“治未病”智慧应对研究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浙江省中医院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黄  琦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2021ZX006</w:t>
            </w:r>
          </w:p>
        </w:tc>
        <w:tc>
          <w:tcPr>
            <w:tcW w:w="6464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儿童抽动障碍中医病证结合优化方案及疗效评价研究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浙江省中医院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陈  健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2021ZX007</w:t>
            </w:r>
          </w:p>
        </w:tc>
        <w:tc>
          <w:tcPr>
            <w:tcW w:w="6464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消瘀泄浊饮干预慢性肾脏病3-4期的多中心临床研究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浙江省中医院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鲁科达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2021ZX008</w:t>
            </w:r>
          </w:p>
        </w:tc>
        <w:tc>
          <w:tcPr>
            <w:tcW w:w="6464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浙产中药材白及种植技术及产品深度开发关键技术集成示范推广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浙江中医药大学附属第二医院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袁  强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2021ZX009</w:t>
            </w:r>
          </w:p>
        </w:tc>
        <w:tc>
          <w:tcPr>
            <w:tcW w:w="6464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强骨饮治疗糖皮质激素性骨质疏松症临床疗效及其分子机制研究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浙江中医药大学附属第二医院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吴连国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2021ZX010</w:t>
            </w:r>
          </w:p>
        </w:tc>
        <w:tc>
          <w:tcPr>
            <w:tcW w:w="6464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中西医结合康复治疗卒中后抑郁/焦虑的多中心RCT研究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浙江中医药大学附属第三医院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高  宏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2021ZX011</w:t>
            </w:r>
          </w:p>
        </w:tc>
        <w:tc>
          <w:tcPr>
            <w:tcW w:w="6464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基于多模态fMRI的慢性颈痛针灸干预机制及疗效评价的研究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浙江中医药大学附属第三医院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林  敏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2021ZX012</w:t>
            </w:r>
          </w:p>
        </w:tc>
        <w:tc>
          <w:tcPr>
            <w:tcW w:w="6464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何氏养巢颗粒联合针灸在不孕症中应用的临床与机制研究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杭州市中医院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章  勤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2021ZX013</w:t>
            </w:r>
          </w:p>
        </w:tc>
        <w:tc>
          <w:tcPr>
            <w:tcW w:w="6464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益癸方汤对围绝经期及绝经后女性骨量保护作用及机制研究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杭州市妇产科医院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张治芬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2021年1月-2024年12月</w:t>
            </w: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83F4B"/>
    <w:rsid w:val="484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2020-12-31T03:17:00Z</dcterms:created>
  <dc:creator>admin</dc:creator>
  <cp:lastModifiedBy>admin</cp:lastModifiedBy>
  <dcterms:modified xsi:type="dcterms:W3CDTF">2020-12-31T03:18:05Z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