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660" w:lineRule="exact"/>
        <w:jc w:val="both"/>
        <w:rPr>
          <w:rFonts w:eastAsia="黑体"/>
          <w:sz w:val="32"/>
          <w:szCs w:val="32"/>
        </w:rPr>
      </w:pPr>
      <w:r>
        <w:rPr>
          <w:rFonts w:eastAsia="黑体"/>
          <w:sz w:val="32"/>
          <w:szCs w:val="32"/>
        </w:rPr>
        <w:t>附件1</w:t>
      </w:r>
    </w:p>
    <w:p>
      <w:pPr>
        <w:spacing w:line="660" w:lineRule="exact"/>
        <w:jc w:val="center"/>
        <w:rPr>
          <w:rFonts w:eastAsia="华文中宋"/>
          <w:b/>
          <w:bCs/>
          <w:color w:val="484848"/>
          <w:sz w:val="44"/>
          <w:szCs w:val="44"/>
        </w:rPr>
      </w:pPr>
    </w:p>
    <w:p>
      <w:pPr>
        <w:widowControl/>
        <w:adjustRightInd w:val="0"/>
        <w:snapToGrid w:val="0"/>
        <w:spacing w:line="660" w:lineRule="exact"/>
        <w:jc w:val="center"/>
        <w:rPr>
          <w:rFonts w:eastAsia="方正小标宋简体"/>
          <w:bCs/>
          <w:sz w:val="44"/>
          <w:szCs w:val="44"/>
        </w:rPr>
      </w:pPr>
      <w:r>
        <w:rPr>
          <w:rFonts w:eastAsia="方正小标宋简体"/>
          <w:bCs/>
          <w:sz w:val="44"/>
          <w:szCs w:val="44"/>
        </w:rPr>
        <w:t>浙江省整治抗（抑）菌制剂违法宣传疗效</w:t>
      </w:r>
    </w:p>
    <w:p>
      <w:pPr>
        <w:widowControl/>
        <w:adjustRightInd w:val="0"/>
        <w:snapToGrid w:val="0"/>
        <w:spacing w:line="660" w:lineRule="exact"/>
        <w:jc w:val="center"/>
        <w:rPr>
          <w:rFonts w:eastAsia="方正小标宋简体"/>
          <w:bCs/>
          <w:sz w:val="44"/>
          <w:szCs w:val="44"/>
        </w:rPr>
      </w:pPr>
      <w:r>
        <w:rPr>
          <w:rFonts w:eastAsia="方正小标宋简体"/>
          <w:bCs/>
          <w:sz w:val="44"/>
          <w:szCs w:val="44"/>
        </w:rPr>
        <w:t>和添加激素等物质专项行动</w:t>
      </w:r>
    </w:p>
    <w:p>
      <w:pPr>
        <w:widowControl/>
        <w:snapToGrid w:val="0"/>
        <w:spacing w:line="660" w:lineRule="exact"/>
        <w:ind w:firstLine="640" w:firstLineChars="200"/>
        <w:jc w:val="left"/>
        <w:rPr>
          <w:rFonts w:eastAsia="仿宋_GB2312"/>
          <w:color w:val="000000"/>
          <w:kern w:val="0"/>
          <w:sz w:val="32"/>
          <w:szCs w:val="32"/>
        </w:rPr>
      </w:pPr>
    </w:p>
    <w:p>
      <w:pPr>
        <w:widowControl/>
        <w:snapToGrid w:val="0"/>
        <w:spacing w:line="660" w:lineRule="exact"/>
        <w:ind w:firstLine="640" w:firstLineChars="200"/>
        <w:jc w:val="left"/>
        <w:rPr>
          <w:rFonts w:eastAsia="仿宋_GB2312"/>
          <w:color w:val="000000"/>
          <w:kern w:val="0"/>
          <w:sz w:val="32"/>
          <w:szCs w:val="32"/>
        </w:rPr>
      </w:pPr>
      <w:r>
        <w:rPr>
          <w:rFonts w:eastAsia="仿宋_GB2312"/>
          <w:color w:val="000000"/>
          <w:kern w:val="0"/>
          <w:sz w:val="32"/>
          <w:szCs w:val="32"/>
        </w:rPr>
        <w:t>近期，媒体曝光福建欧艾婴童健康护理用品有限公司、江西真润健康产业有限公司生产的抗（抑）菌制剂违法添加激素，欺骗和误导消费者，危害人民身体健康，引起社会广泛关注。为规范和整顿抗（抑）菌制剂市场，严厉打击违法行为，决定在全省范围内开展整治抗（抑）菌制剂违法宣传疗效和添加激素等物质专项行动。</w:t>
      </w:r>
    </w:p>
    <w:p>
      <w:pPr>
        <w:widowControl/>
        <w:tabs>
          <w:tab w:val="left" w:pos="1080"/>
          <w:tab w:val="left" w:pos="1440"/>
        </w:tabs>
        <w:snapToGrid w:val="0"/>
        <w:spacing w:line="660" w:lineRule="exact"/>
        <w:ind w:firstLine="640" w:firstLineChars="200"/>
        <w:jc w:val="left"/>
        <w:rPr>
          <w:color w:val="000000"/>
          <w:kern w:val="0"/>
          <w:sz w:val="32"/>
          <w:szCs w:val="32"/>
        </w:rPr>
      </w:pPr>
      <w:r>
        <w:rPr>
          <w:rFonts w:eastAsia="黑体"/>
          <w:color w:val="000000"/>
          <w:kern w:val="0"/>
          <w:sz w:val="32"/>
          <w:szCs w:val="32"/>
        </w:rPr>
        <w:t>一、工作目标</w:t>
      </w:r>
    </w:p>
    <w:p>
      <w:pPr>
        <w:widowControl/>
        <w:snapToGrid w:val="0"/>
        <w:spacing w:line="660" w:lineRule="exact"/>
        <w:ind w:firstLine="640" w:firstLineChars="200"/>
        <w:jc w:val="left"/>
        <w:rPr>
          <w:color w:val="000000"/>
          <w:kern w:val="0"/>
          <w:szCs w:val="21"/>
        </w:rPr>
      </w:pPr>
      <w:r>
        <w:rPr>
          <w:rFonts w:eastAsia="仿宋_GB2312"/>
          <w:color w:val="000000"/>
          <w:kern w:val="0"/>
          <w:sz w:val="32"/>
          <w:szCs w:val="32"/>
        </w:rPr>
        <w:t>通过专项整治，进一步规范抗（抑）菌制剂生产经营行为，依法严肃查处抗（抑）菌制剂宣传疗效和添加激素等违法行为，切实加大对消毒产品生产经营的监管力度，保障消费者身体健康和公共卫生安全。</w:t>
      </w:r>
    </w:p>
    <w:p>
      <w:pPr>
        <w:widowControl/>
        <w:tabs>
          <w:tab w:val="left" w:pos="1080"/>
          <w:tab w:val="left" w:pos="1440"/>
        </w:tabs>
        <w:snapToGrid w:val="0"/>
        <w:spacing w:line="660" w:lineRule="exact"/>
        <w:ind w:firstLine="640" w:firstLineChars="200"/>
        <w:jc w:val="left"/>
        <w:rPr>
          <w:color w:val="000000"/>
          <w:kern w:val="0"/>
          <w:szCs w:val="21"/>
        </w:rPr>
      </w:pPr>
      <w:r>
        <w:rPr>
          <w:rFonts w:eastAsia="黑体"/>
          <w:color w:val="000000"/>
          <w:kern w:val="0"/>
          <w:sz w:val="32"/>
          <w:szCs w:val="32"/>
        </w:rPr>
        <w:t>二、工作重点</w:t>
      </w:r>
    </w:p>
    <w:p>
      <w:pPr>
        <w:spacing w:line="660" w:lineRule="exact"/>
        <w:ind w:firstLine="640" w:firstLineChars="200"/>
        <w:rPr>
          <w:rFonts w:eastAsia="仿宋_GB2312"/>
          <w:color w:val="000000"/>
          <w:sz w:val="32"/>
          <w:szCs w:val="32"/>
        </w:rPr>
      </w:pPr>
      <w:r>
        <w:rPr>
          <w:rFonts w:eastAsia="楷体_GB2312"/>
          <w:color w:val="000000"/>
          <w:kern w:val="0"/>
          <w:sz w:val="32"/>
          <w:szCs w:val="32"/>
        </w:rPr>
        <w:t>（一）</w:t>
      </w:r>
      <w:r>
        <w:rPr>
          <w:rFonts w:eastAsia="楷体_GB2312"/>
          <w:color w:val="000000"/>
          <w:sz w:val="32"/>
          <w:szCs w:val="32"/>
          <w:lang w:val="zh-CN"/>
        </w:rPr>
        <w:t>抗（抑）菌制剂生产企业。</w:t>
      </w:r>
      <w:r>
        <w:rPr>
          <w:rFonts w:eastAsia="仿宋_GB2312"/>
          <w:color w:val="000000"/>
          <w:sz w:val="32"/>
          <w:szCs w:val="32"/>
        </w:rPr>
        <w:t>按照《消毒产品生产企业卫生规范》要求进行监督检查：1.</w:t>
      </w:r>
      <w:r>
        <w:rPr>
          <w:rFonts w:eastAsia="仿宋_GB2312"/>
          <w:color w:val="000000"/>
          <w:sz w:val="32"/>
          <w:szCs w:val="32"/>
          <w:lang w:val="zh-CN"/>
        </w:rPr>
        <w:t>卫生许可是否在有效期内，生产项目、类别、条件是否与卫生许可证一致；</w:t>
      </w:r>
      <w:r>
        <w:rPr>
          <w:rFonts w:eastAsia="仿宋_GB2312"/>
          <w:color w:val="000000"/>
          <w:sz w:val="32"/>
          <w:szCs w:val="32"/>
        </w:rPr>
        <w:t>2.</w:t>
      </w:r>
      <w:r>
        <w:rPr>
          <w:rFonts w:eastAsia="仿宋_GB2312"/>
          <w:color w:val="000000"/>
          <w:sz w:val="32"/>
          <w:szCs w:val="32"/>
          <w:lang w:val="zh-CN"/>
        </w:rPr>
        <w:t>查看生产过程记录、原料进出货记录、产品批次检验记录等内容是否符合要求；</w:t>
      </w:r>
      <w:r>
        <w:rPr>
          <w:rFonts w:eastAsia="仿宋_GB2312"/>
          <w:color w:val="000000"/>
          <w:sz w:val="32"/>
          <w:szCs w:val="32"/>
        </w:rPr>
        <w:t>3.</w:t>
      </w:r>
      <w:r>
        <w:rPr>
          <w:rFonts w:eastAsia="仿宋_GB2312"/>
          <w:color w:val="000000"/>
          <w:sz w:val="32"/>
          <w:szCs w:val="32"/>
          <w:lang w:val="zh-CN"/>
        </w:rPr>
        <w:t>抗（抑）菌制剂卫生安全评价报告内容是否齐全合格并备案；</w:t>
      </w:r>
      <w:r>
        <w:rPr>
          <w:rFonts w:eastAsia="仿宋_GB2312"/>
          <w:color w:val="000000"/>
          <w:sz w:val="32"/>
          <w:szCs w:val="32"/>
        </w:rPr>
        <w:t>4.</w:t>
      </w:r>
      <w:r>
        <w:rPr>
          <w:rFonts w:eastAsia="仿宋_GB2312"/>
          <w:color w:val="000000"/>
          <w:sz w:val="32"/>
          <w:szCs w:val="32"/>
          <w:lang w:val="zh-CN"/>
        </w:rPr>
        <w:t>抗（抑）菌制剂产品名称、标签、说明书、包装等是否规范；</w:t>
      </w:r>
      <w:r>
        <w:rPr>
          <w:rFonts w:eastAsia="仿宋_GB2312"/>
          <w:color w:val="000000"/>
          <w:sz w:val="32"/>
          <w:szCs w:val="32"/>
        </w:rPr>
        <w:t>5.</w:t>
      </w:r>
      <w:r>
        <w:rPr>
          <w:rFonts w:eastAsia="仿宋_GB2312"/>
          <w:color w:val="000000"/>
          <w:sz w:val="32"/>
          <w:szCs w:val="32"/>
          <w:lang w:val="zh-CN"/>
        </w:rPr>
        <w:t>是否存在违法违规宣传疗效和标注禁用物质等情况；</w:t>
      </w:r>
      <w:r>
        <w:rPr>
          <w:rFonts w:eastAsia="仿宋_GB2312"/>
          <w:color w:val="000000"/>
          <w:sz w:val="32"/>
          <w:szCs w:val="32"/>
        </w:rPr>
        <w:t>6.全面调查委托生产情况</w:t>
      </w:r>
      <w:r>
        <w:rPr>
          <w:rFonts w:eastAsia="仿宋_GB2312"/>
          <w:color w:val="000000"/>
          <w:sz w:val="32"/>
          <w:szCs w:val="32"/>
          <w:lang w:val="zh-CN"/>
        </w:rPr>
        <w:t>。</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（二）医药公司、零售药店、母婴店、商场超市等经营抗（抑）菌制剂单位。</w:t>
      </w:r>
      <w:r>
        <w:rPr>
          <w:rFonts w:eastAsia="仿宋_GB2312"/>
          <w:color w:val="000000"/>
          <w:kern w:val="0"/>
          <w:sz w:val="32"/>
          <w:szCs w:val="32"/>
        </w:rPr>
        <w:t>重点检查：1.经营单位建立消毒产品进货检查验收制度情况；2.是否索取生产企业卫生许可证复印件和产品卫生安全评价报告并存档备查；3.销售的抗（抑）菌制剂的标签（含说明书）是否规范，是否出现宣传疗效的情况。</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（三）抗（抑）菌制剂抽检。</w:t>
      </w:r>
      <w:r>
        <w:rPr>
          <w:rFonts w:eastAsia="仿宋_GB2312"/>
          <w:sz w:val="32"/>
          <w:szCs w:val="32"/>
          <w:lang w:val="zh-CN"/>
        </w:rPr>
        <w:t>重点在医药公司、零售药店、母婴店、商场超市、婴幼儿洗浴及游泳场所</w:t>
      </w:r>
      <w:r>
        <w:rPr>
          <w:rFonts w:eastAsia="仿宋_GB2312"/>
          <w:sz w:val="32"/>
          <w:szCs w:val="32"/>
        </w:rPr>
        <w:t>、医院</w:t>
      </w:r>
      <w:r>
        <w:rPr>
          <w:rFonts w:eastAsia="仿宋_GB2312"/>
          <w:sz w:val="32"/>
          <w:szCs w:val="32"/>
          <w:lang w:val="zh-CN"/>
        </w:rPr>
        <w:t>等经营使用单位进行采样，以</w:t>
      </w:r>
      <w:r>
        <w:rPr>
          <w:rFonts w:eastAsia="仿宋_GB2312"/>
          <w:sz w:val="32"/>
          <w:szCs w:val="32"/>
        </w:rPr>
        <w:t>我</w:t>
      </w:r>
      <w:r>
        <w:rPr>
          <w:rFonts w:eastAsia="仿宋_GB2312"/>
          <w:sz w:val="32"/>
          <w:szCs w:val="32"/>
          <w:lang w:val="zh-CN"/>
        </w:rPr>
        <w:t>省消毒产品生产企业生产的产品为主，</w:t>
      </w:r>
      <w:r>
        <w:rPr>
          <w:rFonts w:eastAsia="仿宋_GB2312"/>
          <w:color w:val="000000"/>
          <w:kern w:val="0"/>
          <w:sz w:val="32"/>
          <w:szCs w:val="32"/>
        </w:rPr>
        <w:t>每市抽检</w:t>
      </w:r>
      <w:r>
        <w:rPr>
          <w:rFonts w:eastAsia="仿宋_GB2312"/>
          <w:sz w:val="32"/>
          <w:szCs w:val="32"/>
          <w:lang w:val="zh-CN"/>
        </w:rPr>
        <w:t>不少于</w:t>
      </w:r>
      <w:r>
        <w:rPr>
          <w:rFonts w:eastAsia="仿宋_GB2312"/>
          <w:sz w:val="32"/>
          <w:szCs w:val="32"/>
        </w:rPr>
        <w:t>5</w:t>
      </w:r>
      <w:r>
        <w:rPr>
          <w:rFonts w:eastAsia="仿宋_GB2312"/>
          <w:sz w:val="32"/>
          <w:szCs w:val="32"/>
          <w:lang w:val="zh-CN"/>
        </w:rPr>
        <w:t>个抗（抑）菌制剂膏、霜剂型，主要检测是否非法添加禁用物质氯倍他索丙酸酯等。</w:t>
      </w:r>
    </w:p>
    <w:p>
      <w:pPr>
        <w:widowControl/>
        <w:tabs>
          <w:tab w:val="left" w:pos="1440"/>
        </w:tabs>
        <w:snapToGrid w:val="0"/>
        <w:spacing w:line="660" w:lineRule="exact"/>
        <w:ind w:firstLine="627" w:firstLineChars="196"/>
        <w:jc w:val="left"/>
        <w:rPr>
          <w:bCs/>
          <w:color w:val="000000"/>
          <w:kern w:val="0"/>
          <w:sz w:val="32"/>
          <w:szCs w:val="32"/>
        </w:rPr>
      </w:pPr>
      <w:r>
        <w:rPr>
          <w:rFonts w:eastAsia="黑体"/>
          <w:bCs/>
          <w:color w:val="000000"/>
          <w:kern w:val="0"/>
          <w:sz w:val="32"/>
          <w:szCs w:val="32"/>
        </w:rPr>
        <w:t>三、工作安排</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（一）启动阶段（2021年4月）。</w:t>
      </w:r>
      <w:r>
        <w:rPr>
          <w:rFonts w:eastAsia="仿宋_GB2312"/>
          <w:color w:val="000000"/>
          <w:kern w:val="0"/>
          <w:sz w:val="32"/>
          <w:szCs w:val="32"/>
        </w:rPr>
        <w:t>按照专项行动工作内容和要求，结合辖区消毒产品生产企业实际情况，制订具体实施方案，落实工作任务和职责分工。</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（二）执法阶段（2021年5月至7月中旬）。</w:t>
      </w:r>
      <w:r>
        <w:rPr>
          <w:rFonts w:eastAsia="仿宋_GB2312"/>
          <w:color w:val="000000"/>
          <w:kern w:val="0"/>
          <w:sz w:val="32"/>
          <w:szCs w:val="32"/>
        </w:rPr>
        <w:t>组织开展专项执法检查，统一运用浙政钉执法系统记录执法过程，发现问题一律督促整改落实到位，发现违法行为一律依法严厉查处。</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（三）总结阶段（2021年7月下旬）。</w:t>
      </w:r>
      <w:r>
        <w:rPr>
          <w:rFonts w:eastAsia="仿宋_GB2312"/>
          <w:color w:val="000000"/>
          <w:kern w:val="0"/>
          <w:sz w:val="32"/>
          <w:szCs w:val="32"/>
        </w:rPr>
        <w:t>全面总结此次专项行动工作经验做法和整治成效，并按要求上报。</w:t>
      </w:r>
    </w:p>
    <w:p>
      <w:pPr>
        <w:widowControl/>
        <w:tabs>
          <w:tab w:val="left" w:pos="1440"/>
        </w:tabs>
        <w:snapToGrid w:val="0"/>
        <w:spacing w:line="660" w:lineRule="exact"/>
        <w:ind w:firstLine="627" w:firstLineChars="196"/>
        <w:jc w:val="left"/>
        <w:rPr>
          <w:bCs/>
          <w:color w:val="000000"/>
          <w:kern w:val="0"/>
          <w:sz w:val="32"/>
          <w:szCs w:val="32"/>
        </w:rPr>
      </w:pPr>
      <w:r>
        <w:rPr>
          <w:rFonts w:eastAsia="黑体"/>
          <w:bCs/>
          <w:color w:val="000000"/>
          <w:kern w:val="0"/>
          <w:sz w:val="32"/>
          <w:szCs w:val="32"/>
        </w:rPr>
        <w:t>四、工作要求</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（一）提高站位，维护群众健康权益。</w:t>
      </w:r>
      <w:r>
        <w:rPr>
          <w:rFonts w:eastAsia="仿宋_GB2312"/>
          <w:color w:val="000000"/>
          <w:kern w:val="0"/>
          <w:sz w:val="32"/>
          <w:szCs w:val="32"/>
        </w:rPr>
        <w:t>各地要强化担当精神，增强责任意识，坚决把思想和行动统一落实到“一切为了人民健康”具体行动中，以求真务实的态度抓实抓细专项整治行动，制定具体实施方案，落实责任领导、责任科室和责任人，明确工作内容和进度安排，确保专项整治工作取得实效。此项内容纳入2021年全国打击侵犯知识产权和制售假冒伪劣商品考评。</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（二）全面摸排，净化抗（抑）菌市场。</w:t>
      </w:r>
      <w:r>
        <w:rPr>
          <w:rFonts w:eastAsia="仿宋_GB2312"/>
          <w:color w:val="000000"/>
          <w:kern w:val="0"/>
          <w:sz w:val="32"/>
          <w:szCs w:val="32"/>
        </w:rPr>
        <w:t>各地要严把消毒产品企业卫生许可和消毒产品卫生安全评价报告备案关，对辖区抗（抑）菌制剂生产企业卫生许可规范、已备案抗（抑）菌制剂卫生安全评价报告合规、抗（抑）菌膏、霜剂是否非法添加禁用物质等情况进行一次全覆盖排查，坚决依法严厉打击损害群众健康权益的违法违规问题。</w:t>
      </w:r>
    </w:p>
    <w:p>
      <w:pPr>
        <w:widowControl/>
        <w:snapToGrid w:val="0"/>
        <w:spacing w:line="660" w:lineRule="exact"/>
        <w:ind w:firstLine="640" w:firstLineChars="200"/>
        <w:jc w:val="left"/>
        <w:rPr>
          <w:rFonts w:eastAsia="仿宋_GB2312"/>
          <w:color w:val="000000"/>
          <w:kern w:val="0"/>
          <w:sz w:val="32"/>
          <w:szCs w:val="32"/>
        </w:rPr>
      </w:pPr>
      <w:r>
        <w:rPr>
          <w:rFonts w:eastAsia="楷体_GB2312"/>
          <w:color w:val="000000"/>
          <w:kern w:val="0"/>
          <w:sz w:val="32"/>
          <w:szCs w:val="32"/>
        </w:rPr>
        <w:t>（三）加大检测，严查违法行为。</w:t>
      </w:r>
      <w:r>
        <w:rPr>
          <w:rFonts w:eastAsia="仿宋_GB2312"/>
          <w:color w:val="000000"/>
          <w:kern w:val="0"/>
          <w:sz w:val="32"/>
          <w:szCs w:val="32"/>
        </w:rPr>
        <w:t>在国家“双随机、一公开”监督抽查基础上，重点加大零售药店、母婴店、婴幼儿洗浴等经营使用单位抗（抑）菌制剂和抽查过程中发现可疑消毒产品的抽样检测力度，一旦发现添加违禁物质行为，立即责令停止生产销售，依据《传染病防治法》《国务院关于加强食品等产品安全监督管理的特别规定》从严查处。</w:t>
      </w:r>
    </w:p>
    <w:p>
      <w:pPr>
        <w:spacing w:line="660" w:lineRule="exact"/>
        <w:ind w:firstLine="640" w:firstLineChars="200"/>
        <w:rPr>
          <w:rFonts w:eastAsia="仿宋_GB2312"/>
          <w:sz w:val="32"/>
          <w:szCs w:val="32"/>
        </w:rPr>
      </w:pPr>
      <w:r>
        <w:rPr>
          <w:rFonts w:eastAsia="楷体_GB2312"/>
          <w:color w:val="000000"/>
          <w:kern w:val="0"/>
          <w:sz w:val="32"/>
          <w:szCs w:val="32"/>
        </w:rPr>
        <w:t>（四）及时总结，展现专项成果。</w:t>
      </w:r>
      <w:r>
        <w:rPr>
          <w:rFonts w:eastAsia="仿宋_GB2312"/>
          <w:sz w:val="32"/>
          <w:szCs w:val="32"/>
        </w:rPr>
        <w:t>在7</w:t>
      </w:r>
      <w:r>
        <w:rPr>
          <w:rFonts w:eastAsia="仿宋_GB2312"/>
          <w:sz w:val="32"/>
          <w:szCs w:val="32"/>
          <w:lang w:val="zh-CN"/>
        </w:rPr>
        <w:t>月</w:t>
      </w:r>
      <w:r>
        <w:rPr>
          <w:rFonts w:eastAsia="仿宋_GB2312"/>
          <w:sz w:val="32"/>
          <w:szCs w:val="32"/>
        </w:rPr>
        <w:t>20</w:t>
      </w:r>
      <w:r>
        <w:rPr>
          <w:rFonts w:eastAsia="仿宋_GB2312"/>
          <w:sz w:val="32"/>
          <w:szCs w:val="32"/>
          <w:lang w:val="zh-CN"/>
        </w:rPr>
        <w:t>日前</w:t>
      </w:r>
      <w:r>
        <w:rPr>
          <w:rFonts w:eastAsia="仿宋_GB2312"/>
          <w:sz w:val="32"/>
          <w:szCs w:val="32"/>
        </w:rPr>
        <w:t>将</w:t>
      </w:r>
      <w:r>
        <w:rPr>
          <w:rFonts w:eastAsia="仿宋_GB2312"/>
          <w:sz w:val="32"/>
          <w:szCs w:val="32"/>
          <w:lang w:val="zh-CN"/>
        </w:rPr>
        <w:t>抗（抑）菌制剂生产企业检查和抗（抑）菌制剂膏、霜剂型抽检工作总结、以及附</w:t>
      </w:r>
      <w:r>
        <w:rPr>
          <w:rFonts w:eastAsia="仿宋_GB2312"/>
          <w:sz w:val="32"/>
          <w:szCs w:val="32"/>
        </w:rPr>
        <w:t>1-4的盖章PDF版和电子版通过浙政钉</w:t>
      </w:r>
      <w:r>
        <w:rPr>
          <w:rFonts w:eastAsia="仿宋_GB2312"/>
          <w:sz w:val="32"/>
          <w:szCs w:val="32"/>
          <w:lang w:val="zh-CN"/>
        </w:rPr>
        <w:t>报送</w:t>
      </w:r>
      <w:r>
        <w:rPr>
          <w:rFonts w:eastAsia="仿宋_GB2312"/>
          <w:sz w:val="32"/>
          <w:szCs w:val="32"/>
        </w:rPr>
        <w:t>我委</w:t>
      </w:r>
      <w:r>
        <w:rPr>
          <w:rFonts w:eastAsia="仿宋_GB2312"/>
          <w:sz w:val="32"/>
          <w:szCs w:val="32"/>
          <w:lang w:val="zh-CN"/>
        </w:rPr>
        <w:t>监督局，重大案件及重要情况随时报告。</w:t>
      </w:r>
    </w:p>
    <w:p>
      <w:pPr>
        <w:widowControl/>
        <w:snapToGrid w:val="0"/>
        <w:spacing w:line="660" w:lineRule="exact"/>
        <w:ind w:firstLine="800" w:firstLineChars="250"/>
        <w:jc w:val="left"/>
        <w:rPr>
          <w:rFonts w:eastAsia="仿宋_GB2312"/>
          <w:color w:val="000000"/>
          <w:kern w:val="0"/>
          <w:sz w:val="32"/>
          <w:szCs w:val="32"/>
        </w:rPr>
      </w:pPr>
      <w:r>
        <w:rPr>
          <w:rFonts w:eastAsia="仿宋_GB2312"/>
          <w:color w:val="000000"/>
          <w:kern w:val="0"/>
          <w:sz w:val="32"/>
          <w:szCs w:val="32"/>
        </w:rPr>
        <w:t>联系人：张旭明，联系电话：0571-87709136，邮箱</w:t>
      </w:r>
      <w:r>
        <w:rPr>
          <w:rFonts w:eastAsia="仿宋_GB2312"/>
          <w:sz w:val="32"/>
          <w:szCs w:val="32"/>
        </w:rPr>
        <w:t>：</w:t>
      </w:r>
      <w:r>
        <w:rPr>
          <w:rFonts w:eastAsia="仿宋_GB2312"/>
          <w:sz w:val="32"/>
          <w:szCs w:val="32"/>
          <w:lang w:val="zh-CN"/>
        </w:rPr>
        <w:t>zxm@zjwjw.gov.cn。</w:t>
      </w:r>
    </w:p>
    <w:p>
      <w:pPr>
        <w:widowControl/>
        <w:snapToGrid w:val="0"/>
        <w:spacing w:line="660" w:lineRule="exact"/>
        <w:ind w:left="1491" w:leftChars="302" w:hanging="857" w:hangingChars="268"/>
        <w:jc w:val="left"/>
        <w:rPr>
          <w:rFonts w:eastAsia="仿宋_GB2312"/>
          <w:color w:val="000000"/>
          <w:kern w:val="0"/>
          <w:sz w:val="32"/>
          <w:szCs w:val="32"/>
        </w:rPr>
      </w:pPr>
    </w:p>
    <w:p>
      <w:pPr>
        <w:widowControl/>
        <w:snapToGrid w:val="0"/>
        <w:spacing w:line="660" w:lineRule="exact"/>
        <w:ind w:left="1491" w:leftChars="302" w:hanging="857" w:hangingChars="268"/>
        <w:jc w:val="left"/>
        <w:rPr>
          <w:rFonts w:eastAsia="仿宋_GB2312"/>
          <w:color w:val="000000"/>
          <w:kern w:val="0"/>
          <w:sz w:val="32"/>
          <w:szCs w:val="32"/>
        </w:rPr>
      </w:pPr>
      <w:r>
        <w:rPr>
          <w:rFonts w:eastAsia="仿宋_GB2312"/>
          <w:color w:val="000000"/>
          <w:kern w:val="0"/>
          <w:sz w:val="32"/>
          <w:szCs w:val="32"/>
        </w:rPr>
        <w:t>附：1</w:t>
      </w:r>
      <w:r>
        <w:rPr>
          <w:rFonts w:hint="eastAsia" w:eastAsia="仿宋_GB2312"/>
          <w:color w:val="000000"/>
          <w:kern w:val="0"/>
          <w:sz w:val="32"/>
          <w:szCs w:val="32"/>
        </w:rPr>
        <w:t>．</w:t>
      </w:r>
      <w:r>
        <w:rPr>
          <w:rFonts w:eastAsia="仿宋_GB2312"/>
          <w:color w:val="000000"/>
          <w:kern w:val="0"/>
          <w:sz w:val="32"/>
          <w:szCs w:val="32"/>
        </w:rPr>
        <w:t>2021年抗（抑）菌制剂生产企业国家随机监督抽查</w:t>
      </w:r>
    </w:p>
    <w:p>
      <w:pPr>
        <w:widowControl/>
        <w:snapToGrid w:val="0"/>
        <w:spacing w:line="660" w:lineRule="exact"/>
        <w:jc w:val="left"/>
        <w:rPr>
          <w:rFonts w:eastAsia="仿宋_GB2312"/>
          <w:color w:val="000000"/>
          <w:kern w:val="0"/>
          <w:sz w:val="32"/>
          <w:szCs w:val="32"/>
        </w:rPr>
      </w:pPr>
      <w:r>
        <w:rPr>
          <w:rFonts w:hint="eastAsia" w:eastAsia="仿宋_GB2312"/>
          <w:color w:val="000000"/>
          <w:kern w:val="0"/>
          <w:sz w:val="32"/>
          <w:szCs w:val="32"/>
        </w:rPr>
        <w:t>　　　　　</w:t>
      </w:r>
      <w:r>
        <w:rPr>
          <w:rFonts w:hint="eastAsia" w:eastAsia="仿宋_GB2312"/>
          <w:color w:val="000000"/>
          <w:kern w:val="0"/>
          <w:sz w:val="13"/>
          <w:szCs w:val="13"/>
        </w:rPr>
        <w:t>　</w:t>
      </w:r>
      <w:r>
        <w:rPr>
          <w:rFonts w:eastAsia="仿宋_GB2312"/>
          <w:color w:val="000000"/>
          <w:kern w:val="0"/>
          <w:sz w:val="32"/>
          <w:szCs w:val="32"/>
        </w:rPr>
        <w:t>案件查处汇总表</w:t>
      </w:r>
    </w:p>
    <w:p>
      <w:pPr>
        <w:widowControl/>
        <w:snapToGrid w:val="0"/>
        <w:spacing w:line="660" w:lineRule="exact"/>
        <w:ind w:left="1008" w:leftChars="480" w:firstLine="320" w:firstLineChars="100"/>
        <w:jc w:val="left"/>
        <w:rPr>
          <w:rFonts w:eastAsia="仿宋_GB2312"/>
          <w:color w:val="000000"/>
          <w:kern w:val="0"/>
          <w:sz w:val="32"/>
          <w:szCs w:val="32"/>
        </w:rPr>
      </w:pPr>
      <w:r>
        <w:rPr>
          <w:rFonts w:hint="eastAsia" w:eastAsia="仿宋_GB2312"/>
          <w:color w:val="000000"/>
          <w:kern w:val="0"/>
          <w:sz w:val="32"/>
          <w:szCs w:val="32"/>
        </w:rPr>
        <w:t>2．</w:t>
      </w:r>
      <w:r>
        <w:rPr>
          <w:rFonts w:eastAsia="仿宋_GB2312"/>
          <w:color w:val="000000"/>
          <w:kern w:val="0"/>
          <w:sz w:val="32"/>
          <w:szCs w:val="32"/>
        </w:rPr>
        <w:t>2021年抗（抑）菌制剂膏、霜剂型国家随机监督</w:t>
      </w:r>
    </w:p>
    <w:p>
      <w:pPr>
        <w:widowControl/>
        <w:snapToGrid w:val="0"/>
        <w:spacing w:line="660" w:lineRule="exact"/>
        <w:jc w:val="left"/>
        <w:rPr>
          <w:rFonts w:eastAsia="仿宋_GB2312"/>
          <w:color w:val="000000"/>
          <w:kern w:val="0"/>
          <w:sz w:val="32"/>
          <w:szCs w:val="32"/>
        </w:rPr>
      </w:pPr>
      <w:r>
        <w:rPr>
          <w:rFonts w:hint="eastAsia" w:eastAsia="仿宋_GB2312"/>
          <w:color w:val="000000"/>
          <w:kern w:val="0"/>
          <w:sz w:val="32"/>
          <w:szCs w:val="32"/>
        </w:rPr>
        <w:t xml:space="preserve">　         </w:t>
      </w:r>
      <w:r>
        <w:rPr>
          <w:rFonts w:hint="eastAsia" w:eastAsia="仿宋_GB2312"/>
          <w:color w:val="000000"/>
          <w:kern w:val="0"/>
          <w:sz w:val="11"/>
          <w:szCs w:val="11"/>
        </w:rPr>
        <w:t xml:space="preserve"> </w:t>
      </w:r>
      <w:r>
        <w:rPr>
          <w:rFonts w:eastAsia="仿宋_GB2312"/>
          <w:color w:val="000000"/>
          <w:kern w:val="0"/>
          <w:sz w:val="32"/>
          <w:szCs w:val="32"/>
        </w:rPr>
        <w:t>抽查案件查处汇总表</w:t>
      </w:r>
    </w:p>
    <w:p>
      <w:pPr>
        <w:tabs>
          <w:tab w:val="left" w:pos="7380"/>
        </w:tabs>
        <w:spacing w:line="660" w:lineRule="exact"/>
        <w:ind w:left="199" w:leftChars="95" w:firstLine="1056" w:firstLineChars="330"/>
        <w:jc w:val="left"/>
        <w:rPr>
          <w:rFonts w:eastAsia="仿宋_GB2312"/>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sz w:val="32"/>
          <w:szCs w:val="32"/>
        </w:rPr>
        <w:t>2021年</w:t>
      </w:r>
      <w:r>
        <w:rPr>
          <w:rFonts w:eastAsia="仿宋_GB2312"/>
          <w:sz w:val="32"/>
          <w:szCs w:val="32"/>
          <w:lang w:val="zh-CN"/>
        </w:rPr>
        <w:t>抗（抑）菌制剂膏、霜剂型</w:t>
      </w:r>
      <w:r>
        <w:rPr>
          <w:rFonts w:eastAsia="仿宋_GB2312"/>
          <w:sz w:val="32"/>
          <w:szCs w:val="32"/>
        </w:rPr>
        <w:t>违法添加禁用物</w:t>
      </w:r>
    </w:p>
    <w:p>
      <w:pPr>
        <w:tabs>
          <w:tab w:val="left" w:pos="7380"/>
        </w:tabs>
        <w:spacing w:line="660" w:lineRule="exact"/>
        <w:ind w:firstLine="1696" w:firstLineChars="530"/>
        <w:jc w:val="left"/>
        <w:rPr>
          <w:rFonts w:eastAsia="仿宋_GB2312"/>
          <w:sz w:val="32"/>
          <w:szCs w:val="32"/>
        </w:rPr>
      </w:pPr>
      <w:r>
        <w:rPr>
          <w:rFonts w:eastAsia="仿宋_GB2312"/>
          <w:sz w:val="32"/>
          <w:szCs w:val="32"/>
        </w:rPr>
        <w:t>质</w:t>
      </w:r>
      <w:r>
        <w:rPr>
          <w:rFonts w:eastAsia="仿宋_GB2312"/>
          <w:sz w:val="32"/>
          <w:szCs w:val="32"/>
          <w:lang w:val="zh-CN"/>
        </w:rPr>
        <w:t>产品</w:t>
      </w:r>
      <w:r>
        <w:rPr>
          <w:rFonts w:eastAsia="仿宋_GB2312"/>
          <w:sz w:val="32"/>
          <w:szCs w:val="32"/>
        </w:rPr>
        <w:t>清单</w:t>
      </w:r>
    </w:p>
    <w:p>
      <w:pPr>
        <w:spacing w:line="660" w:lineRule="exact"/>
        <w:ind w:firstLine="1280" w:firstLineChars="400"/>
        <w:rPr>
          <w:sz w:val="44"/>
          <w:szCs w:val="44"/>
        </w:rPr>
      </w:pPr>
      <w:r>
        <w:rPr>
          <w:rFonts w:eastAsia="仿宋_GB2312"/>
          <w:sz w:val="32"/>
          <w:szCs w:val="32"/>
        </w:rPr>
        <w:t>4</w:t>
      </w:r>
      <w:r>
        <w:rPr>
          <w:rFonts w:hint="eastAsia" w:eastAsia="仿宋_GB2312"/>
          <w:sz w:val="32"/>
          <w:szCs w:val="32"/>
        </w:rPr>
        <w:t>．</w:t>
      </w:r>
      <w:r>
        <w:rPr>
          <w:rFonts w:eastAsia="仿宋_GB2312"/>
          <w:sz w:val="32"/>
          <w:szCs w:val="32"/>
        </w:rPr>
        <w:t>抗（抑）菌制剂委托加工调查汇总表</w:t>
      </w:r>
    </w:p>
    <w:p>
      <w:pPr>
        <w:widowControl/>
        <w:snapToGrid w:val="0"/>
        <w:spacing w:line="360" w:lineRule="atLeast"/>
        <w:jc w:val="left"/>
        <w:rPr>
          <w:rFonts w:eastAsia="仿宋_GB2312"/>
          <w:color w:val="000000"/>
          <w:kern w:val="0"/>
          <w:sz w:val="32"/>
          <w:szCs w:val="32"/>
        </w:rPr>
      </w:pPr>
      <w:r>
        <w:rPr>
          <w:rFonts w:eastAsia="仿宋_GB2312"/>
          <w:b/>
          <w:bCs/>
          <w:color w:val="000000"/>
          <w:kern w:val="0"/>
          <w:szCs w:val="21"/>
        </w:rPr>
        <w:t xml:space="preserve">      </w:t>
      </w:r>
    </w:p>
    <w:p>
      <w:pPr>
        <w:widowControl/>
        <w:snapToGrid w:val="0"/>
        <w:spacing w:line="360" w:lineRule="atLeast"/>
        <w:jc w:val="left"/>
        <w:rPr>
          <w:color w:val="000000"/>
          <w:sz w:val="24"/>
        </w:rPr>
        <w:sectPr>
          <w:footerReference r:id="rId3" w:type="default"/>
          <w:footerReference r:id="rId4" w:type="even"/>
          <w:pgSz w:w="12240" w:h="15840"/>
          <w:pgMar w:top="1644" w:right="1644" w:bottom="1644" w:left="1644" w:header="720" w:footer="1304" w:gutter="0"/>
          <w:cols w:space="720" w:num="1"/>
        </w:sectPr>
      </w:pPr>
    </w:p>
    <w:p>
      <w:pPr>
        <w:widowControl/>
        <w:spacing w:line="360" w:lineRule="atLeast"/>
        <w:ind w:right="153" w:rightChars="73"/>
        <w:jc w:val="left"/>
        <w:rPr>
          <w:b/>
          <w:sz w:val="44"/>
          <w:lang w:val="zh-CN"/>
        </w:rPr>
      </w:pPr>
      <w:r>
        <w:rPr>
          <w:rFonts w:eastAsia="黑体"/>
          <w:sz w:val="32"/>
          <w:szCs w:val="32"/>
        </w:rPr>
        <w:t>附1</w:t>
      </w:r>
      <w:r>
        <w:rPr>
          <w:b/>
          <w:sz w:val="44"/>
          <w:lang w:val="zh-CN"/>
        </w:rPr>
        <w:t xml:space="preserve"> </w:t>
      </w:r>
    </w:p>
    <w:p>
      <w:pPr>
        <w:widowControl/>
        <w:adjustRightInd w:val="0"/>
        <w:snapToGrid w:val="0"/>
        <w:spacing w:line="560" w:lineRule="exact"/>
        <w:jc w:val="center"/>
        <w:rPr>
          <w:rFonts w:eastAsia="方正小标宋简体"/>
          <w:bCs/>
          <w:sz w:val="44"/>
          <w:szCs w:val="44"/>
        </w:rPr>
      </w:pPr>
    </w:p>
    <w:p>
      <w:pPr>
        <w:widowControl/>
        <w:adjustRightInd w:val="0"/>
        <w:snapToGrid w:val="0"/>
        <w:spacing w:line="560" w:lineRule="exact"/>
        <w:jc w:val="center"/>
        <w:rPr>
          <w:rFonts w:eastAsia="方正小标宋简体"/>
          <w:bCs/>
          <w:sz w:val="44"/>
          <w:szCs w:val="44"/>
          <w:lang w:val="zh-CN"/>
        </w:rPr>
      </w:pPr>
      <w:r>
        <w:rPr>
          <w:rFonts w:eastAsia="方正小标宋简体"/>
          <w:bCs/>
          <w:sz w:val="44"/>
          <w:szCs w:val="44"/>
        </w:rPr>
        <w:t>2021年</w:t>
      </w:r>
      <w:r>
        <w:rPr>
          <w:rFonts w:eastAsia="方正小标宋简体"/>
          <w:bCs/>
          <w:sz w:val="44"/>
          <w:szCs w:val="44"/>
          <w:lang w:val="zh-CN"/>
        </w:rPr>
        <w:t>抗（抑）菌制剂生产企业</w:t>
      </w:r>
      <w:r>
        <w:rPr>
          <w:rFonts w:eastAsia="方正小标宋简体"/>
          <w:bCs/>
          <w:sz w:val="44"/>
          <w:szCs w:val="44"/>
        </w:rPr>
        <w:t>国家随机监督抽查</w:t>
      </w:r>
      <w:r>
        <w:rPr>
          <w:rFonts w:eastAsia="方正小标宋简体"/>
          <w:bCs/>
          <w:sz w:val="44"/>
          <w:szCs w:val="44"/>
          <w:lang w:val="zh-CN"/>
        </w:rPr>
        <w:t>案件查处汇总表</w:t>
      </w:r>
    </w:p>
    <w:p>
      <w:pPr>
        <w:tabs>
          <w:tab w:val="left" w:pos="7380"/>
        </w:tabs>
        <w:spacing w:line="360" w:lineRule="auto"/>
        <w:jc w:val="center"/>
        <w:rPr>
          <w:b/>
          <w:sz w:val="44"/>
          <w:lang w:val="zh-CN"/>
        </w:rPr>
      </w:pPr>
    </w:p>
    <w:p>
      <w:pPr>
        <w:tabs>
          <w:tab w:val="left" w:pos="7380"/>
        </w:tabs>
        <w:spacing w:line="360" w:lineRule="auto"/>
        <w:rPr>
          <w:rFonts w:hint="eastAsia" w:ascii="仿宋_GB2312" w:hAnsi="仿宋_GB2312" w:eastAsia="仿宋_GB2312" w:cs="仿宋_GB2312"/>
          <w:szCs w:val="21"/>
          <w:lang w:val="zh-CN"/>
        </w:rPr>
      </w:pPr>
      <w:r>
        <w:rPr>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市   </w:t>
      </w:r>
    </w:p>
    <w:tbl>
      <w:tblPr>
        <w:tblStyle w:val="5"/>
        <w:tblW w:w="15365" w:type="dxa"/>
        <w:jc w:val="center"/>
        <w:tblInd w:w="0" w:type="dxa"/>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blPrEx>
          <w:tblLayout w:type="fixed"/>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rPr>
              <w:t>存在</w:t>
            </w:r>
            <w:r>
              <w:rPr>
                <w:rFonts w:hint="eastAsia" w:ascii="黑体" w:hAnsi="黑体" w:eastAsia="黑体" w:cs="黑体"/>
                <w:kern w:val="0"/>
                <w:szCs w:val="21"/>
                <w:lang w:val="zh-CN"/>
              </w:rPr>
              <w:t>违法</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卫生许可</w:t>
            </w:r>
            <w:r>
              <w:rPr>
                <w:rFonts w:hint="eastAsia" w:ascii="黑体" w:hAnsi="黑体" w:eastAsia="黑体" w:cs="黑体"/>
                <w:kern w:val="0"/>
                <w:szCs w:val="21"/>
              </w:rPr>
              <w:t>证</w:t>
            </w:r>
            <w:r>
              <w:rPr>
                <w:rFonts w:hint="eastAsia" w:ascii="黑体" w:hAnsi="黑体" w:eastAsia="黑体" w:cs="黑体"/>
                <w:kern w:val="0"/>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生产条件</w:t>
            </w:r>
            <w:r>
              <w:rPr>
                <w:rFonts w:hint="eastAsia" w:ascii="黑体" w:hAnsi="黑体" w:eastAsia="黑体" w:cs="黑体"/>
                <w:kern w:val="0"/>
                <w:szCs w:val="21"/>
              </w:rPr>
              <w:t>、</w:t>
            </w:r>
            <w:r>
              <w:rPr>
                <w:rFonts w:hint="eastAsia" w:ascii="黑体" w:hAnsi="黑体" w:eastAsia="黑体" w:cs="黑体"/>
                <w:kern w:val="0"/>
                <w:szCs w:val="21"/>
                <w:lang w:val="zh-CN"/>
              </w:rPr>
              <w:t>过程</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曝光违法单位数</w:t>
            </w:r>
          </w:p>
        </w:tc>
      </w:tr>
      <w:tr>
        <w:tblPrEx>
          <w:tblLayout w:type="fixed"/>
          <w:tblCellMar>
            <w:top w:w="0" w:type="dxa"/>
            <w:left w:w="108" w:type="dxa"/>
            <w:bottom w:w="0" w:type="dxa"/>
            <w:right w:w="108" w:type="dxa"/>
          </w:tblCellMar>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警告</w:t>
            </w: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罚款</w:t>
            </w: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罚款金额</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（万元）</w:t>
            </w: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r>
              <w:rPr>
                <w:rFonts w:hint="eastAsia" w:ascii="黑体" w:hAnsi="黑体" w:eastAsia="黑体" w:cs="黑体"/>
                <w:kern w:val="0"/>
                <w:szCs w:val="21"/>
                <w:lang w:val="zh-CN"/>
              </w:rPr>
              <w:t>其他</w:t>
            </w:r>
          </w:p>
        </w:tc>
        <w:tc>
          <w:tcPr>
            <w:tcW w:w="112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r>
      <w:tr>
        <w:tblPrEx>
          <w:tblLayout w:type="fixed"/>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28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29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972"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95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kern w:val="0"/>
                <w:szCs w:val="21"/>
                <w:lang w:val="zh-CN"/>
              </w:rPr>
            </w:pP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c>
          <w:tcPr>
            <w:tcW w:w="112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kern w:val="0"/>
                <w:szCs w:val="21"/>
                <w:lang w:val="zh-CN"/>
              </w:rPr>
            </w:pPr>
          </w:p>
        </w:tc>
      </w:tr>
    </w:tbl>
    <w:p>
      <w:pPr>
        <w:widowControl/>
        <w:spacing w:line="36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填表单位（盖章）：                     填表人：　      　　　　 联系电话：                   填表日期：  </w:t>
      </w:r>
    </w:p>
    <w:p>
      <w:pPr>
        <w:widowControl/>
        <w:spacing w:line="360" w:lineRule="atLeast"/>
        <w:jc w:val="left"/>
        <w:rPr>
          <w:sz w:val="24"/>
        </w:rPr>
      </w:pPr>
    </w:p>
    <w:p>
      <w:pPr>
        <w:widowControl/>
        <w:spacing w:line="360" w:lineRule="atLeast"/>
        <w:jc w:val="left"/>
        <w:rPr>
          <w:szCs w:val="21"/>
        </w:rPr>
      </w:pPr>
    </w:p>
    <w:p>
      <w:pPr>
        <w:widowControl/>
        <w:spacing w:line="360" w:lineRule="atLeast"/>
        <w:jc w:val="left"/>
        <w:rPr>
          <w:szCs w:val="21"/>
        </w:rPr>
      </w:pPr>
    </w:p>
    <w:p>
      <w:pPr>
        <w:widowControl/>
        <w:spacing w:line="360" w:lineRule="atLeast"/>
        <w:jc w:val="left"/>
        <w:rPr>
          <w:szCs w:val="21"/>
        </w:rPr>
      </w:pPr>
    </w:p>
    <w:p>
      <w:pPr>
        <w:widowControl/>
        <w:spacing w:line="480" w:lineRule="exact"/>
        <w:jc w:val="left"/>
        <w:rPr>
          <w:rFonts w:eastAsia="黑体"/>
          <w:sz w:val="32"/>
          <w:szCs w:val="32"/>
        </w:rPr>
      </w:pPr>
      <w:r>
        <w:rPr>
          <w:rFonts w:eastAsia="黑体"/>
          <w:sz w:val="32"/>
          <w:szCs w:val="32"/>
        </w:rPr>
        <w:br w:type="page"/>
      </w:r>
      <w:r>
        <w:rPr>
          <w:rFonts w:eastAsia="黑体"/>
          <w:sz w:val="32"/>
          <w:szCs w:val="32"/>
        </w:rPr>
        <w:t>附2</w:t>
      </w:r>
    </w:p>
    <w:p>
      <w:pPr>
        <w:widowControl/>
        <w:adjustRightInd w:val="0"/>
        <w:snapToGrid w:val="0"/>
        <w:spacing w:line="560" w:lineRule="exact"/>
        <w:jc w:val="center"/>
        <w:rPr>
          <w:rFonts w:eastAsia="方正小标宋简体"/>
          <w:bCs/>
          <w:sz w:val="44"/>
          <w:szCs w:val="44"/>
        </w:rPr>
      </w:pPr>
    </w:p>
    <w:p>
      <w:pPr>
        <w:widowControl/>
        <w:adjustRightInd w:val="0"/>
        <w:snapToGrid w:val="0"/>
        <w:spacing w:line="560" w:lineRule="exact"/>
        <w:jc w:val="center"/>
        <w:rPr>
          <w:rFonts w:eastAsia="方正小标宋简体"/>
          <w:bCs/>
          <w:sz w:val="44"/>
          <w:szCs w:val="44"/>
          <w:lang w:val="zh-CN"/>
        </w:rPr>
      </w:pPr>
      <w:r>
        <w:rPr>
          <w:rFonts w:eastAsia="方正小标宋简体"/>
          <w:bCs/>
          <w:sz w:val="44"/>
          <w:szCs w:val="44"/>
        </w:rPr>
        <w:t>2021年</w:t>
      </w:r>
      <w:r>
        <w:rPr>
          <w:rFonts w:eastAsia="方正小标宋简体"/>
          <w:bCs/>
          <w:sz w:val="44"/>
          <w:szCs w:val="44"/>
          <w:lang w:val="zh-CN"/>
        </w:rPr>
        <w:t>抗（抑）菌制剂膏、霜剂型</w:t>
      </w:r>
      <w:r>
        <w:rPr>
          <w:rFonts w:eastAsia="方正小标宋简体"/>
          <w:bCs/>
          <w:sz w:val="44"/>
          <w:szCs w:val="44"/>
        </w:rPr>
        <w:t>国家随机监督抽查</w:t>
      </w:r>
      <w:r>
        <w:rPr>
          <w:rFonts w:eastAsia="方正小标宋简体"/>
          <w:bCs/>
          <w:sz w:val="44"/>
          <w:szCs w:val="44"/>
          <w:lang w:val="zh-CN"/>
        </w:rPr>
        <w:t>案件查处汇总表</w:t>
      </w:r>
    </w:p>
    <w:p>
      <w:pPr>
        <w:widowControl/>
        <w:adjustRightInd w:val="0"/>
        <w:snapToGrid w:val="0"/>
        <w:spacing w:line="560" w:lineRule="exact"/>
        <w:jc w:val="center"/>
        <w:rPr>
          <w:rFonts w:eastAsia="方正小标宋简体"/>
          <w:bCs/>
          <w:sz w:val="44"/>
          <w:szCs w:val="44"/>
          <w:lang w:val="zh-CN"/>
        </w:rPr>
      </w:pPr>
    </w:p>
    <w:p>
      <w:pPr>
        <w:tabs>
          <w:tab w:val="left" w:pos="7380"/>
        </w:tabs>
        <w:spacing w:line="360" w:lineRule="auto"/>
        <w:rPr>
          <w:rFonts w:hint="eastAsia" w:ascii="仿宋_GB2312" w:hAnsi="仿宋_GB2312" w:eastAsia="仿宋_GB2312" w:cs="仿宋_GB2312"/>
          <w:sz w:val="24"/>
          <w:lang w:val="zh-CN"/>
        </w:rPr>
      </w:pPr>
      <w:r>
        <w:rPr>
          <w:sz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市   </w:t>
      </w:r>
    </w:p>
    <w:tbl>
      <w:tblPr>
        <w:tblStyle w:val="5"/>
        <w:tblW w:w="15411" w:type="dxa"/>
        <w:jc w:val="center"/>
        <w:tblInd w:w="0" w:type="dxa"/>
        <w:tblLayout w:type="fixed"/>
        <w:tblCellMar>
          <w:top w:w="0" w:type="dxa"/>
          <w:left w:w="108" w:type="dxa"/>
          <w:bottom w:w="0" w:type="dxa"/>
          <w:right w:w="108" w:type="dxa"/>
        </w:tblCellMar>
      </w:tblPr>
      <w:tblGrid>
        <w:gridCol w:w="1319"/>
        <w:gridCol w:w="1277"/>
        <w:gridCol w:w="1254"/>
        <w:gridCol w:w="1178"/>
        <w:gridCol w:w="1266"/>
        <w:gridCol w:w="1254"/>
        <w:gridCol w:w="1517"/>
        <w:gridCol w:w="894"/>
        <w:gridCol w:w="1004"/>
        <w:gridCol w:w="1058"/>
        <w:gridCol w:w="1331"/>
        <w:gridCol w:w="927"/>
        <w:gridCol w:w="1132"/>
      </w:tblGrid>
      <w:tr>
        <w:tblPrEx>
          <w:tblLayout w:type="fixed"/>
          <w:tblCellMar>
            <w:top w:w="0" w:type="dxa"/>
            <w:left w:w="108" w:type="dxa"/>
            <w:bottom w:w="0" w:type="dxa"/>
            <w:right w:w="108" w:type="dxa"/>
          </w:tblCellMar>
        </w:tblPrEx>
        <w:trPr>
          <w:trHeight w:val="454" w:hRule="atLeast"/>
          <w:jc w:val="center"/>
        </w:trPr>
        <w:tc>
          <w:tcPr>
            <w:tcW w:w="1319"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抽检经营</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使用单位数</w:t>
            </w:r>
          </w:p>
        </w:tc>
        <w:tc>
          <w:tcPr>
            <w:tcW w:w="1277"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distribute"/>
              <w:rPr>
                <w:rFonts w:hint="eastAsia" w:ascii="黑体" w:hAnsi="黑体" w:eastAsia="黑体" w:cs="黑体"/>
                <w:kern w:val="0"/>
                <w:szCs w:val="21"/>
                <w:lang w:val="zh-CN"/>
              </w:rPr>
            </w:pPr>
            <w:r>
              <w:rPr>
                <w:rFonts w:hint="eastAsia" w:ascii="黑体" w:hAnsi="黑体" w:eastAsia="黑体" w:cs="黑体"/>
                <w:spacing w:val="-9"/>
                <w:kern w:val="0"/>
                <w:szCs w:val="21"/>
                <w:lang w:val="zh-CN"/>
              </w:rPr>
              <w:t>抽</w:t>
            </w:r>
            <w:r>
              <w:rPr>
                <w:rFonts w:hint="eastAsia" w:ascii="黑体" w:hAnsi="黑体" w:eastAsia="黑体" w:cs="黑体"/>
                <w:spacing w:val="-9"/>
                <w:kern w:val="0"/>
                <w:szCs w:val="21"/>
              </w:rPr>
              <w:t>查</w:t>
            </w:r>
            <w:r>
              <w:rPr>
                <w:rFonts w:hint="eastAsia" w:ascii="黑体" w:hAnsi="黑体" w:eastAsia="黑体" w:cs="黑体"/>
                <w:spacing w:val="-9"/>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不合格</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产品数</w:t>
            </w:r>
          </w:p>
        </w:tc>
        <w:tc>
          <w:tcPr>
            <w:tcW w:w="1178"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非法添加</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禁用物质</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产品数</w:t>
            </w:r>
          </w:p>
        </w:tc>
        <w:tc>
          <w:tcPr>
            <w:tcW w:w="1266"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标签说明书</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不规范</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违法违规</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宣传疗效</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产品数</w:t>
            </w:r>
          </w:p>
        </w:tc>
        <w:tc>
          <w:tcPr>
            <w:tcW w:w="1517"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卫生安全</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评价报告</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不规范产品数</w:t>
            </w:r>
          </w:p>
        </w:tc>
        <w:tc>
          <w:tcPr>
            <w:tcW w:w="894"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立案数</w:t>
            </w:r>
          </w:p>
        </w:tc>
        <w:tc>
          <w:tcPr>
            <w:tcW w:w="4320" w:type="dxa"/>
            <w:gridSpan w:val="4"/>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曝光违法</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单位数</w:t>
            </w:r>
          </w:p>
        </w:tc>
      </w:tr>
      <w:tr>
        <w:tblPrEx>
          <w:tblLayout w:type="fixed"/>
          <w:tblCellMar>
            <w:top w:w="0" w:type="dxa"/>
            <w:left w:w="108" w:type="dxa"/>
            <w:bottom w:w="0" w:type="dxa"/>
            <w:right w:w="108" w:type="dxa"/>
          </w:tblCellMar>
        </w:tblPrEx>
        <w:trPr>
          <w:trHeight w:val="406" w:hRule="atLeast"/>
          <w:jc w:val="center"/>
        </w:trPr>
        <w:tc>
          <w:tcPr>
            <w:tcW w:w="1319"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277"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警告</w:t>
            </w: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罚款</w:t>
            </w: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罚款金额</w:t>
            </w:r>
          </w:p>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（万元）</w:t>
            </w: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r>
              <w:rPr>
                <w:rFonts w:hint="eastAsia" w:ascii="黑体" w:hAnsi="黑体" w:eastAsia="黑体" w:cs="黑体"/>
                <w:kern w:val="0"/>
                <w:szCs w:val="21"/>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kern w:val="0"/>
                <w:szCs w:val="21"/>
                <w:lang w:val="zh-CN"/>
              </w:rPr>
            </w:pPr>
          </w:p>
        </w:tc>
      </w:tr>
      <w:tr>
        <w:tblPrEx>
          <w:tblLayout w:type="fixed"/>
          <w:tblCellMar>
            <w:top w:w="0" w:type="dxa"/>
            <w:left w:w="108" w:type="dxa"/>
            <w:bottom w:w="0" w:type="dxa"/>
            <w:right w:w="108" w:type="dxa"/>
          </w:tblCellMar>
        </w:tblPrEx>
        <w:trPr>
          <w:trHeight w:val="718" w:hRule="atLeast"/>
          <w:jc w:val="center"/>
        </w:trPr>
        <w:tc>
          <w:tcPr>
            <w:tcW w:w="131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27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25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178"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26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25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51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89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c>
          <w:tcPr>
            <w:tcW w:w="1132"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kern w:val="0"/>
                <w:szCs w:val="21"/>
                <w:lang w:val="zh-CN"/>
              </w:rPr>
            </w:pPr>
          </w:p>
        </w:tc>
      </w:tr>
    </w:tbl>
    <w:p>
      <w:pPr>
        <w:pStyle w:val="8"/>
        <w:spacing w:before="312" w:beforeLines="100"/>
        <w:ind w:right="153" w:rightChars="73"/>
        <w:rPr>
          <w:rFonts w:hint="eastAsia" w:hAnsi="仿宋_GB2312" w:cs="仿宋_GB2312"/>
          <w:sz w:val="24"/>
        </w:rPr>
      </w:pPr>
      <w:r>
        <w:rPr>
          <w:rFonts w:hint="eastAsia" w:hAnsi="仿宋_GB2312" w:cs="仿宋_GB2312"/>
          <w:sz w:val="24"/>
        </w:rPr>
        <w:t>填表单位（盖章）：                     填表人：　      　　　　 联系电话：                   填表日期：</w:t>
      </w:r>
    </w:p>
    <w:p>
      <w:pPr>
        <w:rPr>
          <w:rFonts w:eastAsia="仿宋"/>
        </w:rPr>
      </w:pPr>
    </w:p>
    <w:p>
      <w:pPr>
        <w:rPr>
          <w:rFonts w:eastAsia="仿宋"/>
        </w:rPr>
      </w:pPr>
    </w:p>
    <w:p>
      <w:pPr>
        <w:spacing w:line="480" w:lineRule="exact"/>
        <w:jc w:val="left"/>
        <w:rPr>
          <w:rFonts w:eastAsia="黑体"/>
          <w:sz w:val="32"/>
          <w:szCs w:val="32"/>
        </w:rPr>
      </w:pPr>
      <w:r>
        <w:rPr>
          <w:rFonts w:eastAsia="黑体"/>
          <w:sz w:val="32"/>
          <w:szCs w:val="32"/>
        </w:rPr>
        <w:br w:type="page"/>
      </w:r>
      <w:r>
        <w:rPr>
          <w:rFonts w:eastAsia="黑体"/>
          <w:sz w:val="32"/>
          <w:szCs w:val="32"/>
        </w:rPr>
        <w:t>附3</w:t>
      </w:r>
    </w:p>
    <w:p>
      <w:pPr>
        <w:tabs>
          <w:tab w:val="left" w:pos="7380"/>
        </w:tabs>
        <w:spacing w:line="360" w:lineRule="auto"/>
        <w:jc w:val="center"/>
        <w:rPr>
          <w:b/>
          <w:sz w:val="44"/>
        </w:rPr>
      </w:pPr>
    </w:p>
    <w:p>
      <w:pPr>
        <w:widowControl/>
        <w:adjustRightInd w:val="0"/>
        <w:snapToGrid w:val="0"/>
        <w:spacing w:line="560" w:lineRule="exact"/>
        <w:jc w:val="center"/>
        <w:rPr>
          <w:rFonts w:eastAsia="方正小标宋简体"/>
          <w:bCs/>
          <w:sz w:val="44"/>
          <w:szCs w:val="44"/>
        </w:rPr>
      </w:pPr>
      <w:r>
        <w:rPr>
          <w:rFonts w:eastAsia="方正小标宋简体"/>
          <w:bCs/>
          <w:sz w:val="44"/>
          <w:szCs w:val="44"/>
        </w:rPr>
        <w:t>2021年抗（抑）菌制剂膏、霜剂型违法添加禁用物质产品清单</w:t>
      </w:r>
    </w:p>
    <w:p>
      <w:pPr>
        <w:widowControl/>
        <w:adjustRightInd w:val="0"/>
        <w:snapToGrid w:val="0"/>
        <w:spacing w:line="560" w:lineRule="exact"/>
        <w:jc w:val="center"/>
        <w:rPr>
          <w:rFonts w:eastAsia="方正小标宋简体"/>
          <w:bCs/>
          <w:sz w:val="44"/>
          <w:szCs w:val="44"/>
        </w:rPr>
      </w:pPr>
    </w:p>
    <w:p>
      <w:pPr>
        <w:tabs>
          <w:tab w:val="left" w:pos="7380"/>
        </w:tabs>
        <w:spacing w:line="360" w:lineRule="auto"/>
        <w:rPr>
          <w:rFonts w:hint="eastAsia" w:ascii="仿宋_GB2312" w:hAnsi="仿宋_GB2312" w:eastAsia="仿宋_GB2312" w:cs="仿宋_GB2312"/>
          <w:sz w:val="24"/>
          <w:lang w:val="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市   </w:t>
      </w:r>
    </w:p>
    <w:tbl>
      <w:tblPr>
        <w:tblStyle w:val="5"/>
        <w:tblW w:w="15398" w:type="dxa"/>
        <w:jc w:val="center"/>
        <w:tblInd w:w="0" w:type="dxa"/>
        <w:tblLayout w:type="fixed"/>
        <w:tblCellMar>
          <w:top w:w="0" w:type="dxa"/>
          <w:left w:w="108" w:type="dxa"/>
          <w:bottom w:w="0" w:type="dxa"/>
          <w:right w:w="108" w:type="dxa"/>
        </w:tblCellMar>
      </w:tblPr>
      <w:tblGrid>
        <w:gridCol w:w="799"/>
        <w:gridCol w:w="2902"/>
        <w:gridCol w:w="1418"/>
        <w:gridCol w:w="3655"/>
        <w:gridCol w:w="3192"/>
        <w:gridCol w:w="2310"/>
        <w:gridCol w:w="1122"/>
      </w:tblGrid>
      <w:tr>
        <w:tblPrEx>
          <w:tblLayout w:type="fixed"/>
          <w:tblCellMar>
            <w:top w:w="0" w:type="dxa"/>
            <w:left w:w="108" w:type="dxa"/>
            <w:bottom w:w="0" w:type="dxa"/>
            <w:right w:w="108" w:type="dxa"/>
          </w:tblCellMar>
        </w:tblPrEx>
        <w:trPr>
          <w:trHeight w:val="868"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ind w:right="-122"/>
              <w:jc w:val="center"/>
              <w:rPr>
                <w:rFonts w:hint="eastAsia" w:ascii="黑体" w:hAnsi="黑体" w:eastAsia="黑体" w:cs="黑体"/>
                <w:szCs w:val="21"/>
                <w:lang w:val="zh-CN"/>
              </w:rPr>
            </w:pPr>
            <w:r>
              <w:rPr>
                <w:rFonts w:hint="eastAsia" w:ascii="黑体" w:hAnsi="黑体" w:eastAsia="黑体" w:cs="黑体"/>
                <w:szCs w:val="21"/>
                <w:lang w:val="zh-CN"/>
              </w:rPr>
              <w:t>序</w:t>
            </w:r>
            <w:r>
              <w:rPr>
                <w:rFonts w:hint="eastAsia" w:ascii="黑体" w:hAnsi="黑体" w:eastAsia="黑体" w:cs="黑体"/>
                <w:szCs w:val="21"/>
              </w:rPr>
              <w:t xml:space="preserve"> </w:t>
            </w:r>
            <w:r>
              <w:rPr>
                <w:rFonts w:hint="eastAsia" w:ascii="黑体" w:hAnsi="黑体" w:eastAsia="黑体" w:cs="黑体"/>
                <w:szCs w:val="21"/>
                <w:lang w:val="zh-CN"/>
              </w:rPr>
              <w:t>号</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ind w:right="-122"/>
              <w:jc w:val="center"/>
              <w:rPr>
                <w:rFonts w:hint="eastAsia" w:ascii="黑体" w:hAnsi="黑体" w:eastAsia="黑体" w:cs="黑体"/>
                <w:szCs w:val="21"/>
                <w:lang w:val="zh-CN"/>
              </w:rPr>
            </w:pPr>
            <w:r>
              <w:rPr>
                <w:rFonts w:hint="eastAsia" w:ascii="黑体" w:hAnsi="黑体" w:eastAsia="黑体" w:cs="黑体"/>
                <w:szCs w:val="21"/>
                <w:lang w:val="zh-CN"/>
              </w:rPr>
              <w:t>不合格产品名称</w:t>
            </w: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ind w:right="-122"/>
              <w:jc w:val="center"/>
              <w:rPr>
                <w:rFonts w:hint="eastAsia" w:ascii="黑体" w:hAnsi="黑体" w:eastAsia="黑体" w:cs="黑体"/>
                <w:szCs w:val="21"/>
                <w:lang w:val="zh-CN"/>
              </w:rPr>
            </w:pPr>
            <w:r>
              <w:rPr>
                <w:rFonts w:hint="eastAsia" w:ascii="黑体" w:hAnsi="黑体" w:eastAsia="黑体" w:cs="黑体"/>
                <w:szCs w:val="21"/>
                <w:lang w:val="zh-CN"/>
              </w:rPr>
              <w:t>批</w:t>
            </w:r>
            <w:r>
              <w:rPr>
                <w:rFonts w:hint="eastAsia" w:ascii="黑体" w:hAnsi="黑体" w:eastAsia="黑体" w:cs="黑体"/>
                <w:szCs w:val="21"/>
              </w:rPr>
              <w:t xml:space="preserve"> </w:t>
            </w:r>
            <w:r>
              <w:rPr>
                <w:rFonts w:hint="eastAsia" w:ascii="黑体" w:hAnsi="黑体" w:eastAsia="黑体" w:cs="黑体"/>
                <w:szCs w:val="21"/>
                <w:lang w:val="zh-CN"/>
              </w:rPr>
              <w:t>号</w:t>
            </w: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ind w:right="27"/>
              <w:jc w:val="center"/>
              <w:rPr>
                <w:rFonts w:hint="eastAsia" w:ascii="黑体" w:hAnsi="黑体" w:eastAsia="黑体" w:cs="黑体"/>
                <w:szCs w:val="21"/>
                <w:lang w:val="zh-CN"/>
              </w:rPr>
            </w:pPr>
            <w:r>
              <w:rPr>
                <w:rFonts w:hint="eastAsia" w:ascii="黑体" w:hAnsi="黑体" w:eastAsia="黑体" w:cs="黑体"/>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r>
              <w:rPr>
                <w:rFonts w:hint="eastAsia" w:ascii="黑体" w:hAnsi="黑体" w:eastAsia="黑体" w:cs="黑体"/>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r>
              <w:rPr>
                <w:rFonts w:hint="eastAsia" w:ascii="黑体" w:hAnsi="黑体" w:eastAsia="黑体" w:cs="黑体"/>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r>
              <w:rPr>
                <w:rFonts w:hint="eastAsia" w:ascii="黑体" w:hAnsi="黑体" w:eastAsia="黑体" w:cs="黑体"/>
                <w:szCs w:val="21"/>
                <w:lang w:val="zh-CN"/>
              </w:rPr>
              <w:t>备</w:t>
            </w:r>
            <w:r>
              <w:rPr>
                <w:rFonts w:hint="eastAsia" w:ascii="黑体" w:hAnsi="黑体" w:eastAsia="黑体" w:cs="黑体"/>
                <w:szCs w:val="21"/>
              </w:rPr>
              <w:t xml:space="preserve"> </w:t>
            </w:r>
            <w:r>
              <w:rPr>
                <w:rFonts w:hint="eastAsia" w:ascii="黑体" w:hAnsi="黑体" w:eastAsia="黑体" w:cs="黑体"/>
                <w:szCs w:val="21"/>
                <w:lang w:val="zh-CN"/>
              </w:rPr>
              <w:t>注</w:t>
            </w: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rPr>
              <w:t>1</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rPr>
              <w:t>2</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rPr>
              <w:t>3</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rPr>
              <w:t>…</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szCs w:val="21"/>
                <w:lang w:val="zh-CN"/>
              </w:rPr>
            </w:pPr>
          </w:p>
        </w:tc>
      </w:tr>
    </w:tbl>
    <w:p>
      <w:pPr>
        <w:spacing w:before="312" w:beforeLines="100"/>
        <w:rPr>
          <w:rFonts w:hint="eastAsia" w:ascii="仿宋_GB2312" w:hAnsi="仿宋_GB2312" w:eastAsia="仿宋_GB2312" w:cs="仿宋_GB2312"/>
          <w:sz w:val="24"/>
        </w:rPr>
        <w:sectPr>
          <w:footerReference r:id="rId5" w:type="default"/>
          <w:pgSz w:w="16838" w:h="11906" w:orient="landscape"/>
          <w:pgMar w:top="1440" w:right="1800" w:bottom="1440" w:left="1800" w:header="851" w:footer="992" w:gutter="0"/>
          <w:lnNumType w:countBy="0" w:distance="360"/>
          <w:cols w:space="720" w:num="1"/>
          <w:docGrid w:type="lines" w:linePitch="312" w:charSpace="0"/>
        </w:sectPr>
      </w:pPr>
      <w:r>
        <w:rPr>
          <w:rFonts w:hint="eastAsia" w:ascii="仿宋_GB2312" w:hAnsi="仿宋_GB2312" w:eastAsia="仿宋_GB2312" w:cs="仿宋_GB2312"/>
          <w:sz w:val="24"/>
        </w:rPr>
        <w:t>填表单位（盖章）：                     填表人：　      　　　　 联系电话：                   填表日期：</w:t>
      </w:r>
    </w:p>
    <w:p>
      <w:pPr>
        <w:spacing w:line="480" w:lineRule="exact"/>
        <w:jc w:val="left"/>
        <w:rPr>
          <w:rFonts w:eastAsia="黑体"/>
          <w:sz w:val="32"/>
          <w:szCs w:val="32"/>
        </w:rPr>
      </w:pPr>
      <w:r>
        <w:rPr>
          <w:rFonts w:eastAsia="黑体"/>
          <w:sz w:val="32"/>
          <w:szCs w:val="32"/>
        </w:rPr>
        <w:t>附4</w:t>
      </w:r>
    </w:p>
    <w:p>
      <w:pPr>
        <w:jc w:val="center"/>
        <w:rPr>
          <w:b/>
          <w:bCs/>
          <w:sz w:val="44"/>
          <w:szCs w:val="44"/>
        </w:rPr>
      </w:pPr>
    </w:p>
    <w:p>
      <w:pPr>
        <w:widowControl/>
        <w:adjustRightInd w:val="0"/>
        <w:snapToGrid w:val="0"/>
        <w:spacing w:line="560" w:lineRule="exact"/>
        <w:jc w:val="center"/>
        <w:rPr>
          <w:rFonts w:eastAsia="方正小标宋简体"/>
          <w:bCs/>
          <w:sz w:val="44"/>
          <w:szCs w:val="44"/>
        </w:rPr>
      </w:pPr>
      <w:r>
        <w:rPr>
          <w:rFonts w:eastAsia="方正小标宋简体"/>
          <w:bCs/>
          <w:sz w:val="44"/>
          <w:szCs w:val="44"/>
        </w:rPr>
        <w:t>抗（抑）菌制剂委托加工调查汇总表</w:t>
      </w:r>
    </w:p>
    <w:p>
      <w:pPr>
        <w:widowControl/>
        <w:adjustRightInd w:val="0"/>
        <w:snapToGrid w:val="0"/>
        <w:spacing w:line="560" w:lineRule="exact"/>
        <w:jc w:val="center"/>
        <w:rPr>
          <w:rFonts w:eastAsia="方正小标宋简体"/>
          <w:bCs/>
          <w:sz w:val="44"/>
          <w:szCs w:val="44"/>
        </w:rPr>
      </w:pPr>
    </w:p>
    <w:p>
      <w:pPr>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市 </w:t>
      </w:r>
    </w:p>
    <w:tbl>
      <w:tblPr>
        <w:tblStyle w:val="5"/>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08"/>
        <w:gridCol w:w="2250"/>
        <w:gridCol w:w="1665"/>
        <w:gridCol w:w="2010"/>
        <w:gridCol w:w="1650"/>
        <w:gridCol w:w="276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708"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委托单位名称</w:t>
            </w:r>
          </w:p>
        </w:tc>
        <w:tc>
          <w:tcPr>
            <w:tcW w:w="2250"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被委托生产单位名称</w:t>
            </w:r>
          </w:p>
        </w:tc>
        <w:tc>
          <w:tcPr>
            <w:tcW w:w="1665"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卫生许可证号</w:t>
            </w:r>
          </w:p>
        </w:tc>
        <w:tc>
          <w:tcPr>
            <w:tcW w:w="2010"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委托加工产品名称</w:t>
            </w:r>
          </w:p>
        </w:tc>
        <w:tc>
          <w:tcPr>
            <w:tcW w:w="1650"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加工数量</w:t>
            </w:r>
          </w:p>
        </w:tc>
        <w:tc>
          <w:tcPr>
            <w:tcW w:w="2760"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卫生安全评价报告备案情况</w:t>
            </w:r>
          </w:p>
        </w:tc>
        <w:tc>
          <w:tcPr>
            <w:tcW w:w="1391" w:type="dxa"/>
            <w:shd w:val="clear" w:color="auto" w:fill="auto"/>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4" w:type="dxa"/>
            <w:shd w:val="clear" w:color="auto" w:fill="auto"/>
            <w:noWrap w:val="0"/>
            <w:vAlign w:val="top"/>
          </w:tcPr>
          <w:p>
            <w:pPr>
              <w:spacing w:line="360" w:lineRule="auto"/>
              <w:rPr>
                <w:rFonts w:hint="eastAsia" w:ascii="黑体" w:hAnsi="黑体" w:eastAsia="黑体" w:cs="黑体"/>
                <w:sz w:val="32"/>
                <w:szCs w:val="32"/>
              </w:rPr>
            </w:pPr>
          </w:p>
        </w:tc>
        <w:tc>
          <w:tcPr>
            <w:tcW w:w="1708" w:type="dxa"/>
            <w:shd w:val="clear" w:color="auto" w:fill="auto"/>
            <w:noWrap w:val="0"/>
            <w:vAlign w:val="top"/>
          </w:tcPr>
          <w:p>
            <w:pPr>
              <w:spacing w:line="360" w:lineRule="auto"/>
              <w:rPr>
                <w:rFonts w:hint="eastAsia" w:ascii="黑体" w:hAnsi="黑体" w:eastAsia="黑体" w:cs="黑体"/>
                <w:sz w:val="32"/>
                <w:szCs w:val="32"/>
              </w:rPr>
            </w:pPr>
          </w:p>
        </w:tc>
        <w:tc>
          <w:tcPr>
            <w:tcW w:w="2250" w:type="dxa"/>
            <w:shd w:val="clear" w:color="auto" w:fill="auto"/>
            <w:noWrap w:val="0"/>
            <w:vAlign w:val="top"/>
          </w:tcPr>
          <w:p>
            <w:pPr>
              <w:spacing w:line="360" w:lineRule="auto"/>
              <w:rPr>
                <w:rFonts w:hint="eastAsia" w:ascii="黑体" w:hAnsi="黑体" w:eastAsia="黑体" w:cs="黑体"/>
                <w:sz w:val="32"/>
                <w:szCs w:val="32"/>
              </w:rPr>
            </w:pPr>
          </w:p>
        </w:tc>
        <w:tc>
          <w:tcPr>
            <w:tcW w:w="1665" w:type="dxa"/>
            <w:shd w:val="clear" w:color="auto" w:fill="auto"/>
            <w:noWrap w:val="0"/>
            <w:vAlign w:val="top"/>
          </w:tcPr>
          <w:p>
            <w:pPr>
              <w:spacing w:line="360" w:lineRule="auto"/>
              <w:rPr>
                <w:rFonts w:hint="eastAsia" w:ascii="黑体" w:hAnsi="黑体" w:eastAsia="黑体" w:cs="黑体"/>
                <w:sz w:val="32"/>
                <w:szCs w:val="32"/>
              </w:rPr>
            </w:pPr>
          </w:p>
        </w:tc>
        <w:tc>
          <w:tcPr>
            <w:tcW w:w="2010" w:type="dxa"/>
            <w:shd w:val="clear" w:color="auto" w:fill="auto"/>
            <w:noWrap w:val="0"/>
            <w:vAlign w:val="top"/>
          </w:tcPr>
          <w:p>
            <w:pPr>
              <w:spacing w:line="360" w:lineRule="auto"/>
              <w:rPr>
                <w:rFonts w:hint="eastAsia" w:ascii="黑体" w:hAnsi="黑体" w:eastAsia="黑体" w:cs="黑体"/>
                <w:sz w:val="32"/>
                <w:szCs w:val="32"/>
              </w:rPr>
            </w:pPr>
          </w:p>
        </w:tc>
        <w:tc>
          <w:tcPr>
            <w:tcW w:w="1650" w:type="dxa"/>
            <w:shd w:val="clear" w:color="auto" w:fill="auto"/>
            <w:noWrap w:val="0"/>
            <w:vAlign w:val="top"/>
          </w:tcPr>
          <w:p>
            <w:pPr>
              <w:spacing w:line="360" w:lineRule="auto"/>
              <w:rPr>
                <w:rFonts w:hint="eastAsia" w:ascii="黑体" w:hAnsi="黑体" w:eastAsia="黑体" w:cs="黑体"/>
                <w:sz w:val="32"/>
                <w:szCs w:val="32"/>
              </w:rPr>
            </w:pPr>
          </w:p>
        </w:tc>
        <w:tc>
          <w:tcPr>
            <w:tcW w:w="2760" w:type="dxa"/>
            <w:shd w:val="clear" w:color="auto" w:fill="auto"/>
            <w:noWrap w:val="0"/>
            <w:vAlign w:val="top"/>
          </w:tcPr>
          <w:p>
            <w:pPr>
              <w:spacing w:line="360" w:lineRule="auto"/>
              <w:rPr>
                <w:rFonts w:hint="eastAsia" w:ascii="黑体" w:hAnsi="黑体" w:eastAsia="黑体" w:cs="黑体"/>
                <w:sz w:val="32"/>
                <w:szCs w:val="32"/>
              </w:rPr>
            </w:pPr>
          </w:p>
        </w:tc>
        <w:tc>
          <w:tcPr>
            <w:tcW w:w="1391" w:type="dxa"/>
            <w:shd w:val="clear" w:color="auto" w:fill="auto"/>
            <w:noWrap w:val="0"/>
            <w:vAlign w:val="top"/>
          </w:tcPr>
          <w:p>
            <w:pPr>
              <w:spacing w:line="360" w:lineRule="auto"/>
              <w:rPr>
                <w:rFonts w:hint="eastAsia" w:ascii="黑体" w:hAnsi="黑体" w:eastAsia="黑体" w:cs="黑体"/>
                <w:sz w:val="32"/>
                <w:szCs w:val="32"/>
              </w:rPr>
            </w:pPr>
          </w:p>
        </w:tc>
      </w:tr>
    </w:tbl>
    <w:p>
      <w:pPr>
        <w:spacing w:before="384" w:beforeLines="100"/>
        <w:rPr>
          <w:szCs w:val="21"/>
        </w:rPr>
      </w:pPr>
      <w:r>
        <w:rPr>
          <w:rFonts w:hint="eastAsia" w:ascii="仿宋_GB2312" w:hAnsi="仿宋_GB2312" w:eastAsia="仿宋_GB2312" w:cs="仿宋_GB2312"/>
          <w:sz w:val="24"/>
        </w:rPr>
        <w:t>填表单位（盖章）：                     填表人：　      　　　　 联系电话：                   填表日期：</w:t>
      </w:r>
    </w:p>
    <w:p>
      <w:pPr>
        <w:widowControl/>
        <w:spacing w:after="192" w:afterLines="50" w:line="400" w:lineRule="exact"/>
        <w:rPr>
          <w:rFonts w:eastAsia="仿宋"/>
          <w:sz w:val="28"/>
          <w:szCs w:val="28"/>
        </w:rPr>
        <w:sectPr>
          <w:footerReference r:id="rId6" w:type="default"/>
          <w:footerReference r:id="rId7" w:type="even"/>
          <w:pgSz w:w="16838" w:h="11906" w:orient="landscape"/>
          <w:pgMar w:top="1531" w:right="1871" w:bottom="1531" w:left="1531" w:header="851" w:footer="992" w:gutter="0"/>
          <w:cols w:space="720" w:num="1"/>
          <w:titlePg/>
          <w:docGrid w:type="lines" w:linePitch="384"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2</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4</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3329E"/>
    <w:rsid w:val="2D33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uiPriority w:val="0"/>
  </w:style>
  <w:style w:type="paragraph" w:customStyle="1" w:styleId="8">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2021-06-01T07:02:00Z</dcterms:created>
  <dc:creator>admin</dc:creator>
  <cp:lastModifiedBy>admin</cp:lastModifiedBy>
  <dcterms:modified xsi:type="dcterms:W3CDTF">2021-06-01T07:03:55Z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