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eastAsia="黑体"/>
          <w:sz w:val="32"/>
          <w:szCs w:val="32"/>
          <w:lang w:val="en"/>
        </w:rPr>
      </w:pPr>
      <w:r>
        <w:rPr>
          <w:rFonts w:eastAsia="黑体"/>
          <w:sz w:val="32"/>
          <w:szCs w:val="32"/>
          <w:lang w:val="en"/>
        </w:rPr>
        <w:t>附件</w:t>
      </w:r>
    </w:p>
    <w:p>
      <w:pPr>
        <w:spacing w:after="315" w:afterLines="10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妇幼健康领域“证照分离”事项清单</w:t>
      </w:r>
    </w:p>
    <w:tbl>
      <w:tblPr>
        <w:tblStyle w:val="3"/>
        <w:tblW w:w="15024" w:type="dxa"/>
        <w:jc w:val="center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212"/>
        <w:gridCol w:w="1911"/>
        <w:gridCol w:w="1680"/>
        <w:gridCol w:w="150"/>
        <w:gridCol w:w="1532"/>
        <w:gridCol w:w="3736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tblHeader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许可事项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设定依据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审批层级和部门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具体改革举措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事中事后监管措施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计划生育技术服务机构设立许可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《计划生育技术服务管理条例》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取消审批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1.原计划生育技术服务项目中的结扎手术和终止妊娠手术统一纳入“母婴保健专项技术服务”进行许可。2.现有《计划生育技术服务机构执业许可证》有效期到期后自动失效。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1.加强监督管理，开展“双随机”抽查，发现违法违规行为依法查处并公开结果。2.加强信用监管，将母婴保健技术实施情况纳入医疗机构信用记录并向社会公布。3.依法及时处理投诉举报。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23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12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医疗机构开展人类辅助生殖技术许可</w:t>
            </w: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《国务院对确需保留的行政审批项目设定行政许可的决定》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夫精人工授精技术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各设区市、义乌市卫生健康行政部门</w:t>
            </w:r>
          </w:p>
        </w:tc>
        <w:tc>
          <w:tcPr>
            <w:tcW w:w="3736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1.“夫精人工授精技术”许可委托各设区市、义乌市卫生健康行政部门。2.在“浙里办”向社会动态公布已取得人类辅助生殖技术许可的医疗机构名单，以及全省人类辅助生殖技术应用规划落实情况；新申请的机构在审批通过后1周内更新公布相关名单。</w:t>
            </w:r>
          </w:p>
        </w:tc>
        <w:tc>
          <w:tcPr>
            <w:tcW w:w="408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1.完善有关信息系统，及时更新公布人类辅助生殖技术服务机构相关信息。2.建立健全质量控制体系，依托省级辅助生殖质量控制中心，加强质量安全管理。3.开展“双随机、一公开”监管，发现违法违规行为要依法查处并公开结果。4.加强行业自律和社会监督。5.依法及时处理投诉举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供精人工授精、体外受精-胚胎移植、卵胞浆内单精子显微注射、植入前胚胎遗传学诊断技术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省级卫生健康行政部门</w:t>
            </w:r>
          </w:p>
        </w:tc>
        <w:tc>
          <w:tcPr>
            <w:tcW w:w="3736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080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医疗机构设置人类精子库审批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《国务院对确需保留的行政审批项目设定行政许可的决定》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省级卫生健康行政部门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在“浙里办”向社会动态公布已取得人类精子库许可的医疗机构名单，以及全省人类辅助生殖技术应用规划落实情况；新申请的机构在审批通过后1周内更新公布相关名单。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1.完善有关信息系统，及时更新公布人类精子库相关信息。2.建立健全质量控制体系，依托省级辅助生殖技术质控中心，加强质量安全管理。3.开展“双随机、一公开”监管，发现违法违规行为要依法查处并公开结果。4.加强行业自律和社会监督。5.依法及时处理投诉举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23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12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母婴保健专项技术服务许可</w:t>
            </w: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《中华人民共和国母婴保健法》《中华人民共和国母婴保健法实施办法》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1.本级事项：助产技术、结扎手术、终止妊娠手术；</w:t>
            </w:r>
          </w:p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2.市级下放事项：婚前医学检查、产前筛查技术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县级卫生健康行政部门</w:t>
            </w:r>
          </w:p>
        </w:tc>
        <w:tc>
          <w:tcPr>
            <w:tcW w:w="3736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1.婚前医学检查、产前筛查技术许可下放至县级卫生健康行政部门</w:t>
            </w:r>
            <w:r>
              <w:rPr>
                <w:rFonts w:hint="eastAsia" w:eastAsia="仿宋_GB2312"/>
                <w:color w:val="000000"/>
                <w:kern w:val="0"/>
                <w:sz w:val="22"/>
                <w:lang w:bidi="ar"/>
              </w:rPr>
              <w:t>。2.</w:t>
            </w: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《母婴保健技术服务执业许可证》每3年校验1次。3.推动母婴保健技术服务电子证照应用。</w:t>
            </w:r>
          </w:p>
        </w:tc>
        <w:tc>
          <w:tcPr>
            <w:tcW w:w="408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1.加强母婴保健专项技术质量控制，依托省级产前诊断技术质控中心，对产前诊断和筛查机构开展质控。2.开展“双随机、一公开”监管，发现违法违规行为要依法查处并公开结果。3.加强产前诊断机构对产前筛查机构的人员培训、技术指导和质量控制。4.加强信用监管，依法向社会公布母婴保健专项技术服务机构信用状况。5.依法及时处理投诉举报。6.加强母婴保健专项技术服务行业自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产前诊断技术</w:t>
            </w:r>
          </w:p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2"/>
                <w:lang w:bidi="ar"/>
              </w:rPr>
              <w:t>（省级医院除外）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各设区市、义乌市卫生健康行政部门</w:t>
            </w:r>
          </w:p>
        </w:tc>
        <w:tc>
          <w:tcPr>
            <w:tcW w:w="3736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080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产前诊断技术</w:t>
            </w:r>
          </w:p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（省级医院）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省级卫生健康行政部门</w:t>
            </w:r>
          </w:p>
        </w:tc>
        <w:tc>
          <w:tcPr>
            <w:tcW w:w="3736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080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</w:p>
        </w:tc>
      </w:tr>
    </w:tbl>
    <w:p>
      <w:pPr>
        <w:spacing w:line="660" w:lineRule="exact"/>
        <w:ind w:firstLine="645"/>
        <w:rPr>
          <w:rFonts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0661C"/>
    <w:rsid w:val="08B0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2021-08-05T08:14:00Z</dcterms:created>
  <dc:creator>admin</dc:creator>
  <cp:lastModifiedBy>admin</cp:lastModifiedBy>
  <dcterms:modified xsi:type="dcterms:W3CDTF">2021-08-05T08:14:54Z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