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附件3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</w:pP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浙江省健康村镇建设情况一览表</w:t>
      </w:r>
    </w:p>
    <w:p>
      <w:pPr>
        <w:spacing w:line="600" w:lineRule="exact"/>
        <w:rPr>
          <w:rFonts w:eastAsia="仿宋_GB2312"/>
          <w:sz w:val="32"/>
          <w:szCs w:val="32"/>
        </w:rPr>
      </w:pPr>
    </w:p>
    <w:p>
      <w:pPr>
        <w:spacing w:after="315" w:afterLines="100" w:line="600" w:lineRule="exact"/>
        <w:jc w:val="center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 xml:space="preserve">表1. </w:t>
      </w:r>
      <w:r>
        <w:rPr>
          <w:rFonts w:hint="eastAsia" w:ascii="黑体" w:hAnsi="黑体" w:eastAsia="黑体" w:cs="黑体"/>
          <w:sz w:val="32"/>
          <w:szCs w:val="32"/>
          <w:u w:val="single"/>
        </w:rPr>
        <w:t xml:space="preserve">   </w:t>
      </w:r>
      <w:r>
        <w:rPr>
          <w:rFonts w:hint="eastAsia" w:ascii="黑体" w:hAnsi="黑体" w:eastAsia="黑体" w:cs="黑体"/>
          <w:sz w:val="32"/>
          <w:szCs w:val="32"/>
        </w:rPr>
        <w:t>年度</w:t>
      </w:r>
      <w:r>
        <w:rPr>
          <w:rFonts w:hint="eastAsia" w:ascii="黑体" w:hAnsi="黑体" w:eastAsia="黑体" w:cs="黑体"/>
          <w:sz w:val="32"/>
          <w:szCs w:val="32"/>
          <w:u w:val="single"/>
        </w:rPr>
        <w:t xml:space="preserve">    </w:t>
      </w:r>
      <w:r>
        <w:rPr>
          <w:rFonts w:hint="eastAsia" w:ascii="黑体" w:hAnsi="黑体" w:eastAsia="黑体" w:cs="黑体"/>
          <w:sz w:val="32"/>
          <w:szCs w:val="32"/>
        </w:rPr>
        <w:t>市浙江省健康乡镇建设情况一览表</w:t>
      </w:r>
    </w:p>
    <w:tbl>
      <w:tblPr>
        <w:tblStyle w:val="2"/>
        <w:tblW w:w="884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9"/>
        <w:gridCol w:w="1420"/>
        <w:gridCol w:w="1742"/>
        <w:gridCol w:w="1742"/>
        <w:gridCol w:w="1742"/>
        <w:gridCol w:w="10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9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序号</w:t>
            </w:r>
          </w:p>
        </w:tc>
        <w:tc>
          <w:tcPr>
            <w:tcW w:w="142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县（市、区）</w:t>
            </w:r>
          </w:p>
        </w:tc>
        <w:tc>
          <w:tcPr>
            <w:tcW w:w="174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乡镇名</w:t>
            </w:r>
          </w:p>
        </w:tc>
        <w:tc>
          <w:tcPr>
            <w:tcW w:w="174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建设年份</w:t>
            </w:r>
          </w:p>
        </w:tc>
        <w:tc>
          <w:tcPr>
            <w:tcW w:w="174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评价分数</w:t>
            </w:r>
          </w:p>
        </w:tc>
        <w:tc>
          <w:tcPr>
            <w:tcW w:w="109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99" w:type="dxa"/>
            <w:shd w:val="clear" w:color="auto" w:fill="auto"/>
            <w:noWrap w:val="0"/>
            <w:vAlign w:val="top"/>
          </w:tcPr>
          <w:p>
            <w:pPr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1420" w:type="dxa"/>
            <w:shd w:val="clear" w:color="auto" w:fill="auto"/>
            <w:noWrap w:val="0"/>
            <w:vAlign w:val="top"/>
          </w:tcPr>
          <w:p>
            <w:pPr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1742" w:type="dxa"/>
            <w:shd w:val="clear" w:color="auto" w:fill="auto"/>
            <w:noWrap w:val="0"/>
            <w:vAlign w:val="top"/>
          </w:tcPr>
          <w:p>
            <w:pPr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1742" w:type="dxa"/>
            <w:shd w:val="clear" w:color="auto" w:fill="auto"/>
            <w:noWrap w:val="0"/>
            <w:vAlign w:val="top"/>
          </w:tcPr>
          <w:p>
            <w:pPr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1742" w:type="dxa"/>
            <w:shd w:val="clear" w:color="auto" w:fill="auto"/>
            <w:noWrap w:val="0"/>
            <w:vAlign w:val="top"/>
          </w:tcPr>
          <w:p>
            <w:pPr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1099" w:type="dxa"/>
            <w:shd w:val="clear" w:color="auto" w:fill="auto"/>
            <w:noWrap w:val="0"/>
            <w:vAlign w:val="top"/>
          </w:tcPr>
          <w:p>
            <w:pPr>
              <w:jc w:val="left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99" w:type="dxa"/>
            <w:shd w:val="clear" w:color="auto" w:fill="auto"/>
            <w:noWrap w:val="0"/>
            <w:vAlign w:val="top"/>
          </w:tcPr>
          <w:p>
            <w:pPr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1420" w:type="dxa"/>
            <w:shd w:val="clear" w:color="auto" w:fill="auto"/>
            <w:noWrap w:val="0"/>
            <w:vAlign w:val="top"/>
          </w:tcPr>
          <w:p>
            <w:pPr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1742" w:type="dxa"/>
            <w:shd w:val="clear" w:color="auto" w:fill="auto"/>
            <w:noWrap w:val="0"/>
            <w:vAlign w:val="top"/>
          </w:tcPr>
          <w:p>
            <w:pPr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1742" w:type="dxa"/>
            <w:shd w:val="clear" w:color="auto" w:fill="auto"/>
            <w:noWrap w:val="0"/>
            <w:vAlign w:val="top"/>
          </w:tcPr>
          <w:p>
            <w:pPr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1742" w:type="dxa"/>
            <w:shd w:val="clear" w:color="auto" w:fill="auto"/>
            <w:noWrap w:val="0"/>
            <w:vAlign w:val="top"/>
          </w:tcPr>
          <w:p>
            <w:pPr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1099" w:type="dxa"/>
            <w:shd w:val="clear" w:color="auto" w:fill="auto"/>
            <w:noWrap w:val="0"/>
            <w:vAlign w:val="top"/>
          </w:tcPr>
          <w:p>
            <w:pPr>
              <w:jc w:val="left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99" w:type="dxa"/>
            <w:shd w:val="clear" w:color="auto" w:fill="auto"/>
            <w:noWrap w:val="0"/>
            <w:vAlign w:val="top"/>
          </w:tcPr>
          <w:p>
            <w:pPr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1420" w:type="dxa"/>
            <w:shd w:val="clear" w:color="auto" w:fill="auto"/>
            <w:noWrap w:val="0"/>
            <w:vAlign w:val="top"/>
          </w:tcPr>
          <w:p>
            <w:pPr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1742" w:type="dxa"/>
            <w:shd w:val="clear" w:color="auto" w:fill="auto"/>
            <w:noWrap w:val="0"/>
            <w:vAlign w:val="top"/>
          </w:tcPr>
          <w:p>
            <w:pPr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1742" w:type="dxa"/>
            <w:shd w:val="clear" w:color="auto" w:fill="auto"/>
            <w:noWrap w:val="0"/>
            <w:vAlign w:val="top"/>
          </w:tcPr>
          <w:p>
            <w:pPr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1742" w:type="dxa"/>
            <w:shd w:val="clear" w:color="auto" w:fill="auto"/>
            <w:noWrap w:val="0"/>
            <w:vAlign w:val="top"/>
          </w:tcPr>
          <w:p>
            <w:pPr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1099" w:type="dxa"/>
            <w:shd w:val="clear" w:color="auto" w:fill="auto"/>
            <w:noWrap w:val="0"/>
            <w:vAlign w:val="top"/>
          </w:tcPr>
          <w:p>
            <w:pPr>
              <w:jc w:val="left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99" w:type="dxa"/>
            <w:shd w:val="clear" w:color="auto" w:fill="auto"/>
            <w:noWrap w:val="0"/>
            <w:vAlign w:val="top"/>
          </w:tcPr>
          <w:p>
            <w:pPr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1420" w:type="dxa"/>
            <w:shd w:val="clear" w:color="auto" w:fill="auto"/>
            <w:noWrap w:val="0"/>
            <w:vAlign w:val="top"/>
          </w:tcPr>
          <w:p>
            <w:pPr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1742" w:type="dxa"/>
            <w:shd w:val="clear" w:color="auto" w:fill="auto"/>
            <w:noWrap w:val="0"/>
            <w:vAlign w:val="top"/>
          </w:tcPr>
          <w:p>
            <w:pPr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1742" w:type="dxa"/>
            <w:shd w:val="clear" w:color="auto" w:fill="auto"/>
            <w:noWrap w:val="0"/>
            <w:vAlign w:val="top"/>
          </w:tcPr>
          <w:p>
            <w:pPr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1742" w:type="dxa"/>
            <w:shd w:val="clear" w:color="auto" w:fill="auto"/>
            <w:noWrap w:val="0"/>
            <w:vAlign w:val="top"/>
          </w:tcPr>
          <w:p>
            <w:pPr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1099" w:type="dxa"/>
            <w:shd w:val="clear" w:color="auto" w:fill="auto"/>
            <w:noWrap w:val="0"/>
            <w:vAlign w:val="top"/>
          </w:tcPr>
          <w:p>
            <w:pPr>
              <w:jc w:val="left"/>
              <w:rPr>
                <w:rFonts w:eastAsia="仿宋_GB2312"/>
                <w:szCs w:val="21"/>
              </w:rPr>
            </w:pPr>
          </w:p>
        </w:tc>
      </w:tr>
    </w:tbl>
    <w:p>
      <w:pPr>
        <w:spacing w:line="600" w:lineRule="exact"/>
        <w:jc w:val="left"/>
        <w:rPr>
          <w:rFonts w:eastAsia="仿宋_GB2312"/>
          <w:sz w:val="32"/>
          <w:szCs w:val="32"/>
          <w:vertAlign w:val="superscript"/>
        </w:rPr>
      </w:pPr>
    </w:p>
    <w:p>
      <w:pPr>
        <w:spacing w:after="315" w:afterLines="100" w:line="600" w:lineRule="exact"/>
        <w:jc w:val="center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 xml:space="preserve">表2. </w:t>
      </w:r>
      <w:r>
        <w:rPr>
          <w:rFonts w:hint="eastAsia" w:ascii="黑体" w:hAnsi="黑体" w:eastAsia="黑体" w:cs="黑体"/>
          <w:sz w:val="32"/>
          <w:szCs w:val="32"/>
          <w:u w:val="single"/>
        </w:rPr>
        <w:t xml:space="preserve">   </w:t>
      </w:r>
      <w:r>
        <w:rPr>
          <w:rFonts w:hint="eastAsia" w:ascii="黑体" w:hAnsi="黑体" w:eastAsia="黑体" w:cs="黑体"/>
          <w:sz w:val="32"/>
          <w:szCs w:val="32"/>
        </w:rPr>
        <w:t>年度</w:t>
      </w:r>
      <w:r>
        <w:rPr>
          <w:rFonts w:hint="eastAsia" w:ascii="黑体" w:hAnsi="黑体" w:eastAsia="黑体" w:cs="黑体"/>
          <w:sz w:val="32"/>
          <w:szCs w:val="32"/>
          <w:u w:val="single"/>
        </w:rPr>
        <w:t xml:space="preserve">    </w:t>
      </w:r>
      <w:r>
        <w:rPr>
          <w:rFonts w:hint="eastAsia" w:ascii="黑体" w:hAnsi="黑体" w:eastAsia="黑体" w:cs="黑体"/>
          <w:sz w:val="32"/>
          <w:szCs w:val="32"/>
        </w:rPr>
        <w:t>市浙江省健康村建设情况一览表</w:t>
      </w:r>
    </w:p>
    <w:tbl>
      <w:tblPr>
        <w:tblStyle w:val="2"/>
        <w:tblW w:w="8844" w:type="dxa"/>
        <w:jc w:val="center"/>
        <w:tblInd w:w="16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1"/>
        <w:gridCol w:w="1460"/>
        <w:gridCol w:w="1309"/>
        <w:gridCol w:w="1503"/>
        <w:gridCol w:w="1297"/>
        <w:gridCol w:w="1297"/>
        <w:gridCol w:w="9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3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ascii="黑体" w:hAnsi="黑体" w:eastAsia="黑体" w:cs="黑体"/>
                <w:sz w:val="24"/>
              </w:rPr>
              <w:t>序号</w:t>
            </w:r>
          </w:p>
        </w:tc>
        <w:tc>
          <w:tcPr>
            <w:tcW w:w="146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县（市、区）</w:t>
            </w:r>
          </w:p>
        </w:tc>
        <w:tc>
          <w:tcPr>
            <w:tcW w:w="130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乡镇街</w:t>
            </w:r>
          </w:p>
        </w:tc>
        <w:tc>
          <w:tcPr>
            <w:tcW w:w="150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行政村名</w:t>
            </w:r>
          </w:p>
        </w:tc>
        <w:tc>
          <w:tcPr>
            <w:tcW w:w="1297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建设年份</w:t>
            </w:r>
          </w:p>
        </w:tc>
        <w:tc>
          <w:tcPr>
            <w:tcW w:w="1297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评价分数</w:t>
            </w:r>
          </w:p>
        </w:tc>
        <w:tc>
          <w:tcPr>
            <w:tcW w:w="947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31" w:type="dxa"/>
            <w:shd w:val="clear" w:color="auto" w:fill="auto"/>
            <w:noWrap w:val="0"/>
            <w:vAlign w:val="top"/>
          </w:tcPr>
          <w:p>
            <w:pPr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1460" w:type="dxa"/>
            <w:shd w:val="clear" w:color="auto" w:fill="auto"/>
            <w:noWrap w:val="0"/>
            <w:vAlign w:val="top"/>
          </w:tcPr>
          <w:p>
            <w:pPr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1309" w:type="dxa"/>
            <w:shd w:val="clear" w:color="auto" w:fill="auto"/>
            <w:noWrap w:val="0"/>
            <w:vAlign w:val="top"/>
          </w:tcPr>
          <w:p>
            <w:pPr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1503" w:type="dxa"/>
            <w:shd w:val="clear" w:color="auto" w:fill="auto"/>
            <w:noWrap w:val="0"/>
            <w:vAlign w:val="top"/>
          </w:tcPr>
          <w:p>
            <w:pPr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1297" w:type="dxa"/>
            <w:shd w:val="clear" w:color="auto" w:fill="auto"/>
            <w:noWrap w:val="0"/>
            <w:vAlign w:val="top"/>
          </w:tcPr>
          <w:p>
            <w:pPr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1297" w:type="dxa"/>
            <w:shd w:val="clear" w:color="auto" w:fill="auto"/>
            <w:noWrap w:val="0"/>
            <w:vAlign w:val="top"/>
          </w:tcPr>
          <w:p>
            <w:pPr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947" w:type="dxa"/>
            <w:shd w:val="clear" w:color="auto" w:fill="auto"/>
            <w:noWrap w:val="0"/>
            <w:vAlign w:val="top"/>
          </w:tcPr>
          <w:p>
            <w:pPr>
              <w:jc w:val="left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31" w:type="dxa"/>
            <w:shd w:val="clear" w:color="auto" w:fill="auto"/>
            <w:noWrap w:val="0"/>
            <w:vAlign w:val="top"/>
          </w:tcPr>
          <w:p>
            <w:pPr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1460" w:type="dxa"/>
            <w:shd w:val="clear" w:color="auto" w:fill="auto"/>
            <w:noWrap w:val="0"/>
            <w:vAlign w:val="top"/>
          </w:tcPr>
          <w:p>
            <w:pPr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1309" w:type="dxa"/>
            <w:shd w:val="clear" w:color="auto" w:fill="auto"/>
            <w:noWrap w:val="0"/>
            <w:vAlign w:val="top"/>
          </w:tcPr>
          <w:p>
            <w:pPr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1503" w:type="dxa"/>
            <w:shd w:val="clear" w:color="auto" w:fill="auto"/>
            <w:noWrap w:val="0"/>
            <w:vAlign w:val="top"/>
          </w:tcPr>
          <w:p>
            <w:pPr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1297" w:type="dxa"/>
            <w:shd w:val="clear" w:color="auto" w:fill="auto"/>
            <w:noWrap w:val="0"/>
            <w:vAlign w:val="top"/>
          </w:tcPr>
          <w:p>
            <w:pPr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1297" w:type="dxa"/>
            <w:shd w:val="clear" w:color="auto" w:fill="auto"/>
            <w:noWrap w:val="0"/>
            <w:vAlign w:val="top"/>
          </w:tcPr>
          <w:p>
            <w:pPr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947" w:type="dxa"/>
            <w:shd w:val="clear" w:color="auto" w:fill="auto"/>
            <w:noWrap w:val="0"/>
            <w:vAlign w:val="top"/>
          </w:tcPr>
          <w:p>
            <w:pPr>
              <w:jc w:val="left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31" w:type="dxa"/>
            <w:shd w:val="clear" w:color="auto" w:fill="auto"/>
            <w:noWrap w:val="0"/>
            <w:vAlign w:val="top"/>
          </w:tcPr>
          <w:p>
            <w:pPr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1460" w:type="dxa"/>
            <w:shd w:val="clear" w:color="auto" w:fill="auto"/>
            <w:noWrap w:val="0"/>
            <w:vAlign w:val="top"/>
          </w:tcPr>
          <w:p>
            <w:pPr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1309" w:type="dxa"/>
            <w:shd w:val="clear" w:color="auto" w:fill="auto"/>
            <w:noWrap w:val="0"/>
            <w:vAlign w:val="top"/>
          </w:tcPr>
          <w:p>
            <w:pPr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1503" w:type="dxa"/>
            <w:shd w:val="clear" w:color="auto" w:fill="auto"/>
            <w:noWrap w:val="0"/>
            <w:vAlign w:val="top"/>
          </w:tcPr>
          <w:p>
            <w:pPr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1297" w:type="dxa"/>
            <w:shd w:val="clear" w:color="auto" w:fill="auto"/>
            <w:noWrap w:val="0"/>
            <w:vAlign w:val="top"/>
          </w:tcPr>
          <w:p>
            <w:pPr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1297" w:type="dxa"/>
            <w:shd w:val="clear" w:color="auto" w:fill="auto"/>
            <w:noWrap w:val="0"/>
            <w:vAlign w:val="top"/>
          </w:tcPr>
          <w:p>
            <w:pPr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947" w:type="dxa"/>
            <w:shd w:val="clear" w:color="auto" w:fill="auto"/>
            <w:noWrap w:val="0"/>
            <w:vAlign w:val="top"/>
          </w:tcPr>
          <w:p>
            <w:pPr>
              <w:jc w:val="left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31" w:type="dxa"/>
            <w:shd w:val="clear" w:color="auto" w:fill="auto"/>
            <w:noWrap w:val="0"/>
            <w:vAlign w:val="top"/>
          </w:tcPr>
          <w:p>
            <w:pPr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1460" w:type="dxa"/>
            <w:shd w:val="clear" w:color="auto" w:fill="auto"/>
            <w:noWrap w:val="0"/>
            <w:vAlign w:val="top"/>
          </w:tcPr>
          <w:p>
            <w:pPr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1309" w:type="dxa"/>
            <w:shd w:val="clear" w:color="auto" w:fill="auto"/>
            <w:noWrap w:val="0"/>
            <w:vAlign w:val="top"/>
          </w:tcPr>
          <w:p>
            <w:pPr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1503" w:type="dxa"/>
            <w:shd w:val="clear" w:color="auto" w:fill="auto"/>
            <w:noWrap w:val="0"/>
            <w:vAlign w:val="top"/>
          </w:tcPr>
          <w:p>
            <w:pPr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1297" w:type="dxa"/>
            <w:shd w:val="clear" w:color="auto" w:fill="auto"/>
            <w:noWrap w:val="0"/>
            <w:vAlign w:val="top"/>
          </w:tcPr>
          <w:p>
            <w:pPr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1297" w:type="dxa"/>
            <w:shd w:val="clear" w:color="auto" w:fill="auto"/>
            <w:noWrap w:val="0"/>
            <w:vAlign w:val="top"/>
          </w:tcPr>
          <w:p>
            <w:pPr>
              <w:jc w:val="left"/>
              <w:rPr>
                <w:rFonts w:eastAsia="仿宋_GB2312"/>
                <w:szCs w:val="21"/>
              </w:rPr>
            </w:pPr>
          </w:p>
        </w:tc>
        <w:tc>
          <w:tcPr>
            <w:tcW w:w="947" w:type="dxa"/>
            <w:shd w:val="clear" w:color="auto" w:fill="auto"/>
            <w:noWrap w:val="0"/>
            <w:vAlign w:val="top"/>
          </w:tcPr>
          <w:p>
            <w:pPr>
              <w:jc w:val="left"/>
              <w:rPr>
                <w:rFonts w:eastAsia="仿宋_GB2312"/>
                <w:szCs w:val="21"/>
              </w:rPr>
            </w:pPr>
          </w:p>
        </w:tc>
      </w:tr>
    </w:tbl>
    <w:p>
      <w:pPr>
        <w:spacing w:line="600" w:lineRule="exact"/>
        <w:jc w:val="left"/>
        <w:rPr>
          <w:rFonts w:eastAsia="仿宋_GB2312"/>
          <w:sz w:val="32"/>
          <w:szCs w:val="32"/>
          <w:vertAlign w:val="superscript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B61268"/>
    <w:rsid w:val="3CB61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Office_11.8.2.8276_F1E327BC-269C-435d-A152-05C5408002CA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2021-08-27T02:02:00Z</dcterms:created>
  <dc:creator>admin</dc:creator>
  <cp:lastModifiedBy>admin</cp:lastModifiedBy>
  <dcterms:modified xsi:type="dcterms:W3CDTF">2021-08-27T02:02:41Z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2052-11.8.2.8276</vt:lpwstr>
  </property>
</Properties>
</file>