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513" w:type="dxa"/>
        <w:jc w:val="center"/>
        <w:tblInd w:w="0" w:type="dxa"/>
        <w:tblLayout w:type="fixed"/>
        <w:tblCellMar>
          <w:top w:w="0" w:type="dxa"/>
          <w:left w:w="0" w:type="dxa"/>
          <w:bottom w:w="0" w:type="dxa"/>
          <w:right w:w="0" w:type="dxa"/>
        </w:tblCellMar>
      </w:tblPr>
      <w:tblGrid>
        <w:gridCol w:w="2218"/>
        <w:gridCol w:w="97"/>
        <w:gridCol w:w="82"/>
        <w:gridCol w:w="8640"/>
        <w:gridCol w:w="16"/>
        <w:gridCol w:w="164"/>
        <w:gridCol w:w="1573"/>
        <w:gridCol w:w="1723"/>
      </w:tblGrid>
      <w:tr>
        <w:tblPrEx>
          <w:tblLayout w:type="fixed"/>
          <w:tblCellMar>
            <w:top w:w="0" w:type="dxa"/>
            <w:left w:w="0" w:type="dxa"/>
            <w:bottom w:w="0" w:type="dxa"/>
            <w:right w:w="0" w:type="dxa"/>
          </w:tblCellMar>
        </w:tblPrEx>
        <w:trPr>
          <w:trHeight w:val="113" w:hRule="atLeast"/>
          <w:jc w:val="center"/>
        </w:trPr>
        <w:tc>
          <w:tcPr>
            <w:tcW w:w="14513" w:type="dxa"/>
            <w:gridSpan w:val="8"/>
            <w:tcBorders>
              <w:top w:val="nil"/>
              <w:left w:val="nil"/>
              <w:bottom w:val="single" w:color="auto" w:sz="4" w:space="0"/>
              <w:right w:val="nil"/>
            </w:tcBorders>
            <w:noWrap w:val="0"/>
            <w:tcMar>
              <w:top w:w="15" w:type="dxa"/>
              <w:left w:w="15" w:type="dxa"/>
              <w:right w:w="15" w:type="dxa"/>
            </w:tcMar>
            <w:vAlign w:val="center"/>
          </w:tcPr>
          <w:p>
            <w:pPr>
              <w:jc w:val="center"/>
              <w:rPr>
                <w:rFonts w:ascii="方正小标宋简体" w:hAnsi="方正小标宋简体" w:eastAsia="方正小标宋简体" w:cs="方正小标宋简体"/>
                <w:color w:val="000000"/>
                <w:sz w:val="36"/>
                <w:szCs w:val="36"/>
              </w:rPr>
            </w:pPr>
            <w:bookmarkStart w:id="0" w:name="_GoBack" w:colFirst="0" w:colLast="3"/>
            <w:r>
              <w:rPr>
                <w:rFonts w:hint="eastAsia" w:ascii="华文中宋" w:hAnsi="华文中宋" w:eastAsia="华文中宋" w:cs="华文中宋"/>
                <w:color w:val="000000"/>
                <w:kern w:val="0"/>
                <w:sz w:val="44"/>
                <w:szCs w:val="44"/>
                <w:lang w:bidi="ar"/>
              </w:rPr>
              <w:t>2020年度县域医共体建设重点任务清单</w:t>
            </w:r>
          </w:p>
        </w:tc>
      </w:tr>
      <w:bookmarkEnd w:id="0"/>
      <w:tr>
        <w:tblPrEx>
          <w:tblLayout w:type="fixed"/>
          <w:tblCellMar>
            <w:top w:w="0" w:type="dxa"/>
            <w:left w:w="0" w:type="dxa"/>
            <w:bottom w:w="0" w:type="dxa"/>
            <w:right w:w="0" w:type="dxa"/>
          </w:tblCellMar>
        </w:tblPrEx>
        <w:trPr>
          <w:trHeight w:val="629" w:hRule="atLeast"/>
          <w:jc w:val="center"/>
        </w:trPr>
        <w:tc>
          <w:tcPr>
            <w:tcW w:w="14513"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一、领导再强化</w:t>
            </w:r>
          </w:p>
        </w:tc>
      </w:tr>
      <w:tr>
        <w:tblPrEx>
          <w:tblLayout w:type="fixed"/>
          <w:tblCellMar>
            <w:top w:w="0" w:type="dxa"/>
            <w:left w:w="0" w:type="dxa"/>
            <w:bottom w:w="0" w:type="dxa"/>
            <w:right w:w="0" w:type="dxa"/>
          </w:tblCellMar>
        </w:tblPrEx>
        <w:trPr>
          <w:trHeight w:val="549"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重点任务</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主要内容</w:t>
            </w:r>
          </w:p>
        </w:tc>
        <w:tc>
          <w:tcPr>
            <w:tcW w:w="175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责任单位</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完成时限</w:t>
            </w:r>
          </w:p>
        </w:tc>
      </w:tr>
      <w:tr>
        <w:tblPrEx>
          <w:tblLayout w:type="fixed"/>
          <w:tblCellMar>
            <w:top w:w="0" w:type="dxa"/>
            <w:left w:w="0" w:type="dxa"/>
            <w:bottom w:w="0" w:type="dxa"/>
            <w:right w:w="0" w:type="dxa"/>
          </w:tblCellMar>
        </w:tblPrEx>
        <w:trPr>
          <w:trHeight w:val="90"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1.强化清单管理</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研究持续深化医共体建设发展思路，印发医共体2020年重点工作任务清单、县级部门责任清单</w:t>
            </w:r>
          </w:p>
        </w:tc>
        <w:tc>
          <w:tcPr>
            <w:tcW w:w="175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各医共体管委会办公室</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w:t>
            </w:r>
          </w:p>
        </w:tc>
      </w:tr>
      <w:tr>
        <w:tblPrEx>
          <w:tblLayout w:type="fixed"/>
          <w:tblCellMar>
            <w:top w:w="0" w:type="dxa"/>
            <w:left w:w="0" w:type="dxa"/>
            <w:bottom w:w="0" w:type="dxa"/>
            <w:right w:w="0" w:type="dxa"/>
          </w:tblCellMar>
        </w:tblPrEx>
        <w:trPr>
          <w:trHeight w:val="90"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2.强化总院责任</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按照县乡融合、医防整合、医保协同的要求，建立完善医共体领导班子任期制、任期目标责任制和年度目标责任制</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7月底完成并持续实施</w:t>
            </w:r>
          </w:p>
        </w:tc>
      </w:tr>
      <w:tr>
        <w:tblPrEx>
          <w:tblLayout w:type="fixed"/>
          <w:tblCellMar>
            <w:top w:w="0" w:type="dxa"/>
            <w:left w:w="0" w:type="dxa"/>
            <w:bottom w:w="0" w:type="dxa"/>
            <w:right w:w="0" w:type="dxa"/>
          </w:tblCellMar>
        </w:tblPrEx>
        <w:trPr>
          <w:trHeight w:val="1125"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3.强化绩效考评</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建立健全医共体考核评价体系，组织对医共体开展考核，考核结果与医共体绩效工资总额、医保支付、等级评审、资源配置及领导班子奖惩等挂钩</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549" w:hRule="atLeast"/>
          <w:jc w:val="center"/>
        </w:trPr>
        <w:tc>
          <w:tcPr>
            <w:tcW w:w="14513"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二、体系再优化</w:t>
            </w:r>
          </w:p>
        </w:tc>
      </w:tr>
      <w:tr>
        <w:tblPrEx>
          <w:tblLayout w:type="fixed"/>
          <w:tblCellMar>
            <w:top w:w="0" w:type="dxa"/>
            <w:left w:w="0" w:type="dxa"/>
            <w:bottom w:w="0" w:type="dxa"/>
            <w:right w:w="0" w:type="dxa"/>
          </w:tblCellMar>
        </w:tblPrEx>
        <w:trPr>
          <w:trHeight w:val="53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重点任务</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主要内容</w:t>
            </w:r>
          </w:p>
        </w:tc>
        <w:tc>
          <w:tcPr>
            <w:tcW w:w="175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责任单位</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完成时限</w:t>
            </w:r>
          </w:p>
        </w:tc>
      </w:tr>
      <w:tr>
        <w:tblPrEx>
          <w:tblLayout w:type="fixed"/>
          <w:tblCellMar>
            <w:top w:w="0" w:type="dxa"/>
            <w:left w:w="0" w:type="dxa"/>
            <w:bottom w:w="0" w:type="dxa"/>
            <w:right w:w="0" w:type="dxa"/>
          </w:tblCellMar>
        </w:tblPrEx>
        <w:trPr>
          <w:trHeight w:val="90" w:hRule="atLeast"/>
          <w:jc w:val="center"/>
        </w:trPr>
        <w:tc>
          <w:tcPr>
            <w:tcW w:w="2315"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4.完善组织体系</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4.1全面落实党委领导下的院长负责制，建立健全基层党组织参与重要事项决策制度</w:t>
            </w:r>
          </w:p>
        </w:tc>
        <w:tc>
          <w:tcPr>
            <w:tcW w:w="175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9月底完成并持续实施</w:t>
            </w:r>
          </w:p>
        </w:tc>
      </w:tr>
      <w:tr>
        <w:tblPrEx>
          <w:tblLayout w:type="fixed"/>
          <w:tblCellMar>
            <w:top w:w="0" w:type="dxa"/>
            <w:left w:w="0" w:type="dxa"/>
            <w:bottom w:w="0" w:type="dxa"/>
            <w:right w:w="0" w:type="dxa"/>
          </w:tblCellMar>
        </w:tblPrEx>
        <w:trPr>
          <w:trHeight w:val="90" w:hRule="atLeast"/>
          <w:jc w:val="center"/>
        </w:trPr>
        <w:tc>
          <w:tcPr>
            <w:tcW w:w="231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4.2切实落实医共体牵头医院和成员单位唯一法定代表人组织架构</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7月底完成并持续实施</w:t>
            </w:r>
          </w:p>
        </w:tc>
      </w:tr>
      <w:tr>
        <w:tblPrEx>
          <w:tblLayout w:type="fixed"/>
          <w:tblCellMar>
            <w:top w:w="0" w:type="dxa"/>
            <w:left w:w="0" w:type="dxa"/>
            <w:bottom w:w="0" w:type="dxa"/>
            <w:right w:w="0" w:type="dxa"/>
          </w:tblCellMar>
        </w:tblPrEx>
        <w:trPr>
          <w:trHeight w:val="733" w:hRule="atLeast"/>
          <w:jc w:val="center"/>
        </w:trPr>
        <w:tc>
          <w:tcPr>
            <w:tcW w:w="231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4.3严格落实成员单位负责人由医共体提名并任命</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90" w:hRule="atLeast"/>
          <w:jc w:val="center"/>
        </w:trPr>
        <w:tc>
          <w:tcPr>
            <w:tcW w:w="2315"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5.完善运行体系</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5.1全面推进医共体内部人力资源、财务、医保、公共卫生和信息化等</w:t>
            </w:r>
            <w:r>
              <w:rPr>
                <w:rFonts w:hint="eastAsia" w:ascii="仿宋_GB2312" w:hAnsi="宋体" w:eastAsia="仿宋_GB2312" w:cs="仿宋_GB2312"/>
                <w:color w:val="000000"/>
                <w:spacing w:val="11"/>
                <w:kern w:val="0"/>
                <w:sz w:val="28"/>
                <w:szCs w:val="28"/>
                <w:lang w:bidi="ar"/>
              </w:rPr>
              <w:t>管理中心实体化运行，进一步推进集团化运作、一体化运行、同质化管理</w:t>
            </w:r>
          </w:p>
        </w:tc>
        <w:tc>
          <w:tcPr>
            <w:tcW w:w="175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7月底完成并持续实施</w:t>
            </w:r>
          </w:p>
        </w:tc>
      </w:tr>
      <w:tr>
        <w:tblPrEx>
          <w:tblLayout w:type="fixed"/>
          <w:tblCellMar>
            <w:top w:w="0" w:type="dxa"/>
            <w:left w:w="0" w:type="dxa"/>
            <w:bottom w:w="0" w:type="dxa"/>
            <w:right w:w="0" w:type="dxa"/>
          </w:tblCellMar>
        </w:tblPrEx>
        <w:trPr>
          <w:trHeight w:val="90" w:hRule="atLeast"/>
          <w:jc w:val="center"/>
        </w:trPr>
        <w:tc>
          <w:tcPr>
            <w:tcW w:w="231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kern w:val="0"/>
                <w:sz w:val="28"/>
                <w:szCs w:val="28"/>
                <w:lang w:bidi="ar"/>
              </w:rPr>
            </w:pP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5.2由医</w:t>
            </w:r>
            <w:r>
              <w:rPr>
                <w:rFonts w:hint="eastAsia" w:ascii="仿宋_GB2312" w:hAnsi="宋体" w:eastAsia="仿宋_GB2312" w:cs="仿宋_GB2312"/>
                <w:kern w:val="0"/>
                <w:sz w:val="28"/>
                <w:szCs w:val="28"/>
                <w:lang w:bidi="ar"/>
              </w:rPr>
              <w:t>共体对成员单位实施年度绩效考核，落实基层医疗卫生机构补偿机制改革</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kern w:val="0"/>
                <w:sz w:val="28"/>
                <w:szCs w:val="28"/>
                <w:lang w:bidi="ar"/>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840" w:hRule="atLeast"/>
          <w:jc w:val="center"/>
        </w:trPr>
        <w:tc>
          <w:tcPr>
            <w:tcW w:w="2315"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6.完善服务体系</w:t>
            </w: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6.1开展县级强院建设，打造医共体重点或特色专科学科</w:t>
            </w:r>
          </w:p>
        </w:tc>
        <w:tc>
          <w:tcPr>
            <w:tcW w:w="175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1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6.2开展成员单位能力提升工程，牵头医院与成员单位共同推进全-专联合门诊（高血压、糖尿病等）和慢病联合病房（老慢支、慢阻肺、恶性肿瘤晚期等）建设</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15"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72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6.3加强村级医疗卫生机构建设，加大村级卫生人员定向培养力度，将政府和集体办村卫生室纳入医共体管理</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40" w:hRule="atLeast"/>
          <w:jc w:val="center"/>
        </w:trPr>
        <w:tc>
          <w:tcPr>
            <w:tcW w:w="14513"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三、机制再实化</w:t>
            </w:r>
          </w:p>
        </w:tc>
      </w:tr>
      <w:tr>
        <w:tblPrEx>
          <w:tblLayout w:type="fixed"/>
          <w:tblCellMar>
            <w:top w:w="0" w:type="dxa"/>
            <w:left w:w="0" w:type="dxa"/>
            <w:bottom w:w="0" w:type="dxa"/>
            <w:right w:w="0" w:type="dxa"/>
          </w:tblCellMar>
        </w:tblPrEx>
        <w:trPr>
          <w:trHeight w:val="750" w:hRule="atLeast"/>
          <w:jc w:val="center"/>
        </w:trPr>
        <w:tc>
          <w:tcPr>
            <w:tcW w:w="22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重点任务</w:t>
            </w: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主要内容</w:t>
            </w:r>
          </w:p>
        </w:tc>
        <w:tc>
          <w:tcPr>
            <w:tcW w:w="173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责任单位</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完成时限</w:t>
            </w:r>
          </w:p>
        </w:tc>
      </w:tr>
      <w:tr>
        <w:tblPrEx>
          <w:tblLayout w:type="fixed"/>
          <w:tblCellMar>
            <w:top w:w="0" w:type="dxa"/>
            <w:left w:w="0" w:type="dxa"/>
            <w:bottom w:w="0" w:type="dxa"/>
            <w:right w:w="0" w:type="dxa"/>
          </w:tblCellMar>
        </w:tblPrEx>
        <w:trPr>
          <w:trHeight w:val="750" w:hRule="atLeast"/>
          <w:jc w:val="center"/>
        </w:trPr>
        <w:tc>
          <w:tcPr>
            <w:tcW w:w="22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7.发展一盘棋</w:t>
            </w: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7.1将深化医共体建设发展纳入本地卫生健康事业发展“十四五”规划的重要内容</w:t>
            </w:r>
          </w:p>
        </w:tc>
        <w:tc>
          <w:tcPr>
            <w:tcW w:w="173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1125"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7.2各医共体拟定五年总体发展规划，明确整体发展目标、区域服务布局以及牵头医院与成员单位功能定位、人才培养和学科建设等内容</w:t>
            </w:r>
          </w:p>
        </w:tc>
        <w:tc>
          <w:tcPr>
            <w:tcW w:w="173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1125" w:hRule="atLeast"/>
          <w:jc w:val="center"/>
        </w:trPr>
        <w:tc>
          <w:tcPr>
            <w:tcW w:w="22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8.全员一家人</w:t>
            </w: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8.1统一设置岗位，统筹制定医共体岗位设置方案，包含岗位职责、聘任条件、考核标准等，腾出更多岗位用于临床一线及基层</w:t>
            </w:r>
          </w:p>
        </w:tc>
        <w:tc>
          <w:tcPr>
            <w:tcW w:w="1737"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各医共体管委会办公室</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8.2统一公开招聘，在核定的岗位总量内，根据岗位空缺情况，由医共体对外统一公开招聘</w:t>
            </w:r>
          </w:p>
        </w:tc>
        <w:tc>
          <w:tcPr>
            <w:tcW w:w="173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8.3统一岗位竞聘，按照医共体岗位竞聘标准、办法和程序等，完成岗位竞聘工作，签订聘任协议，成员单位的中高级岗位人数同比增长</w:t>
            </w:r>
          </w:p>
        </w:tc>
        <w:tc>
          <w:tcPr>
            <w:tcW w:w="173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9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8.4统一自主评聘，优化完善医共体高级职称自主评聘方案，包含评聘计划、评聘标准、评聘程序等；同步统筹实施年度职称评聘与岗位竞聘</w:t>
            </w:r>
          </w:p>
        </w:tc>
        <w:tc>
          <w:tcPr>
            <w:tcW w:w="173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8.5统一人员使用，制定医共体人员统筹调配使用办法，加大医共体内专业技术人员的岗位交流力度</w:t>
            </w:r>
          </w:p>
        </w:tc>
        <w:tc>
          <w:tcPr>
            <w:tcW w:w="173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1125" w:hRule="atLeast"/>
          <w:jc w:val="center"/>
        </w:trPr>
        <w:tc>
          <w:tcPr>
            <w:tcW w:w="22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9.财务一本账</w:t>
            </w: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9.1统一账户管理，医共体开设单位零余额账户和基本存款账户，每半年进行1次财务分析，成员单位除基本存款账户之外无其他账户</w:t>
            </w:r>
          </w:p>
        </w:tc>
        <w:tc>
          <w:tcPr>
            <w:tcW w:w="1737"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各医共体管委会办公室</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9月底</w:t>
            </w:r>
          </w:p>
        </w:tc>
      </w:tr>
      <w:tr>
        <w:tblPrEx>
          <w:tblLayout w:type="fixed"/>
          <w:tblCellMar>
            <w:top w:w="0" w:type="dxa"/>
            <w:left w:w="0" w:type="dxa"/>
            <w:bottom w:w="0" w:type="dxa"/>
            <w:right w:w="0" w:type="dxa"/>
          </w:tblCellMar>
        </w:tblPrEx>
        <w:trPr>
          <w:trHeight w:val="9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9.2统一预算管理，医共体编制年度总预算、成员单位分预算；统一价格管理，医共体内相同性质单位相同内容的服务项目设置统一价格并公示</w:t>
            </w:r>
          </w:p>
        </w:tc>
        <w:tc>
          <w:tcPr>
            <w:tcW w:w="173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9月底</w:t>
            </w:r>
          </w:p>
        </w:tc>
      </w:tr>
      <w:tr>
        <w:tblPrEx>
          <w:tblLayout w:type="fixed"/>
          <w:tblCellMar>
            <w:top w:w="0" w:type="dxa"/>
            <w:left w:w="0" w:type="dxa"/>
            <w:bottom w:w="0" w:type="dxa"/>
            <w:right w:w="0" w:type="dxa"/>
          </w:tblCellMar>
        </w:tblPrEx>
        <w:trPr>
          <w:trHeight w:val="750" w:hRule="atLeast"/>
          <w:jc w:val="center"/>
        </w:trPr>
        <w:tc>
          <w:tcPr>
            <w:tcW w:w="221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35"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500" w:lineRule="exac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9.3统一资产管理，医共体所有资产实行统一规划和使用管理，医共体药品、耗材、器械等实施统一采购，并落实廉政风险管控责任</w:t>
            </w:r>
          </w:p>
        </w:tc>
        <w:tc>
          <w:tcPr>
            <w:tcW w:w="173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540" w:hRule="atLeast"/>
          <w:jc w:val="center"/>
        </w:trPr>
        <w:tc>
          <w:tcPr>
            <w:tcW w:w="14513"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四、管理再细化</w:t>
            </w:r>
          </w:p>
        </w:tc>
      </w:tr>
      <w:tr>
        <w:tblPrEx>
          <w:tblLayout w:type="fixed"/>
          <w:tblCellMar>
            <w:top w:w="0" w:type="dxa"/>
            <w:left w:w="0" w:type="dxa"/>
            <w:bottom w:w="0" w:type="dxa"/>
            <w:right w:w="0" w:type="dxa"/>
          </w:tblCellMar>
        </w:tblPrEx>
        <w:trPr>
          <w:trHeight w:val="750"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重点任务</w:t>
            </w: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主要内容</w:t>
            </w:r>
          </w:p>
        </w:tc>
        <w:tc>
          <w:tcPr>
            <w:tcW w:w="175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责任单位</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完成时限</w:t>
            </w:r>
          </w:p>
        </w:tc>
      </w:tr>
      <w:tr>
        <w:tblPrEx>
          <w:tblLayout w:type="fixed"/>
          <w:tblCellMar>
            <w:top w:w="0" w:type="dxa"/>
            <w:left w:w="0" w:type="dxa"/>
            <w:bottom w:w="0" w:type="dxa"/>
            <w:right w:w="0" w:type="dxa"/>
          </w:tblCellMar>
        </w:tblPrEx>
        <w:trPr>
          <w:trHeight w:val="750"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10.管理同质化</w:t>
            </w: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医共体内统筹医疗质量管理、医疗技术管理、医院感染管理等业务管理制度，进一步推进同质化服务</w:t>
            </w:r>
          </w:p>
        </w:tc>
        <w:tc>
          <w:tcPr>
            <w:tcW w:w="175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sz w:val="28"/>
                <w:szCs w:val="28"/>
              </w:rPr>
              <w:t>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7月底完成并持续完善</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11.干部专业化</w:t>
            </w: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11.1鼓励牵头医院优秀人员参与成员单位负责人竞聘，推进医共体牵头医院与成员单位管理人才双向交流</w:t>
            </w:r>
          </w:p>
        </w:tc>
        <w:tc>
          <w:tcPr>
            <w:tcW w:w="175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54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11.2加强管理队伍职业化、专业化建设，开展成员单位负责人管理能力素质提升培训</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jc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11.3医共体对成员单位负责人实施绩效考核，形成能上能下的用人机制</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jc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12.服务数字化</w:t>
            </w: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12.1牵头医院和有条件的成员单位全面推进“两卡融合、一网通办”</w:t>
            </w:r>
          </w:p>
        </w:tc>
        <w:tc>
          <w:tcPr>
            <w:tcW w:w="1753"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7月底完成并持续完善</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12.2建立数字医共体组织架构，至少上架三项以上医共体应用</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12.3医共体检查检验信息100%接入区域平台，检查检验结果通过浙里办向居民开放</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6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8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12.4做好健康档案质量控制和数据治理，电子健康档案开放率达50%</w:t>
            </w:r>
          </w:p>
        </w:tc>
        <w:tc>
          <w:tcPr>
            <w:tcW w:w="1753"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520" w:hRule="atLeast"/>
          <w:jc w:val="center"/>
        </w:trPr>
        <w:tc>
          <w:tcPr>
            <w:tcW w:w="14513"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五、改革再深化</w:t>
            </w:r>
          </w:p>
        </w:tc>
      </w:tr>
      <w:tr>
        <w:tblPrEx>
          <w:tblLayout w:type="fixed"/>
          <w:tblCellMar>
            <w:top w:w="0" w:type="dxa"/>
            <w:left w:w="0" w:type="dxa"/>
            <w:bottom w:w="0" w:type="dxa"/>
            <w:right w:w="0" w:type="dxa"/>
          </w:tblCellMar>
        </w:tblPrEx>
        <w:trPr>
          <w:trHeight w:val="624"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重点任务</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主要内容</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责任单位</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完成时限</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13.推进医防整合</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13.1持续深化“两员一中心一团队”工作机制，扎实落实公共卫生专员和联络员常驻医共体工作制度</w:t>
            </w:r>
          </w:p>
        </w:tc>
        <w:tc>
          <w:tcPr>
            <w:tcW w:w="15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7月底完成并持续完善</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13.2二级以上综合医院、开设儿科服务的妇幼保健院、中医院规范设置发热门诊和隔离留观室</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9月底</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13.3成员单位在门急诊规范设置预检分诊场所和隔离留观室，有条件的可设置发热门诊</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9月底</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14.推进医保协同</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14.1落实医共体医保总额预算、结余留用、超支分担机制</w:t>
            </w:r>
          </w:p>
        </w:tc>
        <w:tc>
          <w:tcPr>
            <w:tcW w:w="15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各医共体管委会办公室</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14.2落实两个10%差别化医保报销政策，支持促进分级诊疗</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14.3建立健全医共体与医保经办机构的平等协商谈判机制，就医保总额预算、医保支付方式等开展谈判</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14.4</w:t>
            </w:r>
            <w:r>
              <w:rPr>
                <w:rFonts w:hint="eastAsia" w:ascii="仿宋_GB2312" w:hAnsi="宋体" w:eastAsia="仿宋_GB2312" w:cs="仿宋_GB2312"/>
                <w:color w:val="000000"/>
                <w:spacing w:val="-6"/>
                <w:kern w:val="0"/>
                <w:sz w:val="28"/>
                <w:szCs w:val="28"/>
                <w:lang w:bidi="ar"/>
              </w:rPr>
              <w:t>积极稳妥推进住院服务按疾病诊断相关分组（DRGs）点数法付费改革</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15.推进分级诊疗</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15.1建立健全并有效执行基层首诊、县级下转和不轻易外转疾病种类目录，医共体内双向转诊人次同比提升</w:t>
            </w:r>
          </w:p>
        </w:tc>
        <w:tc>
          <w:tcPr>
            <w:tcW w:w="15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7月底完成并持续实施</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15.2逐步推行医共体牵头医院分时段预约诊疗服务</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7月底完成并持续实施</w:t>
            </w:r>
          </w:p>
        </w:tc>
      </w:tr>
      <w:tr>
        <w:tblPrEx>
          <w:tblLayout w:type="fixed"/>
          <w:tblCellMar>
            <w:top w:w="0" w:type="dxa"/>
            <w:left w:w="0" w:type="dxa"/>
            <w:bottom w:w="0" w:type="dxa"/>
            <w:right w:w="0" w:type="dxa"/>
          </w:tblCellMar>
        </w:tblPrEx>
        <w:trPr>
          <w:trHeight w:val="624"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15.3开展家庭医生签约服务对象优先预约和闭环管理服务</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500" w:hRule="atLeast"/>
          <w:jc w:val="center"/>
        </w:trPr>
        <w:tc>
          <w:tcPr>
            <w:tcW w:w="14513"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六、绩效再量化</w:t>
            </w:r>
          </w:p>
        </w:tc>
      </w:tr>
      <w:tr>
        <w:tblPrEx>
          <w:tblLayout w:type="fixed"/>
          <w:tblCellMar>
            <w:top w:w="0" w:type="dxa"/>
            <w:left w:w="0" w:type="dxa"/>
            <w:bottom w:w="0" w:type="dxa"/>
            <w:right w:w="0" w:type="dxa"/>
          </w:tblCellMar>
        </w:tblPrEx>
        <w:trPr>
          <w:trHeight w:val="750" w:hRule="atLeast"/>
          <w:jc w:val="center"/>
        </w:trPr>
        <w:tc>
          <w:tcPr>
            <w:tcW w:w="2397"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重点任务</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主要内容</w:t>
            </w:r>
          </w:p>
        </w:tc>
        <w:tc>
          <w:tcPr>
            <w:tcW w:w="15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责任单位</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完成时限</w:t>
            </w:r>
          </w:p>
        </w:tc>
      </w:tr>
      <w:tr>
        <w:tblPrEx>
          <w:tblLayout w:type="fixed"/>
          <w:tblCellMar>
            <w:top w:w="0" w:type="dxa"/>
            <w:left w:w="0" w:type="dxa"/>
            <w:bottom w:w="0" w:type="dxa"/>
            <w:right w:w="0" w:type="dxa"/>
          </w:tblCellMar>
        </w:tblPrEx>
        <w:trPr>
          <w:trHeight w:val="90"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16.提升医疗服务能力</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16.1医共体牵头医院病例组合指数（CMI）值同比提升，县域就诊率同比提升1个百分点或达到90%</w:t>
            </w:r>
          </w:p>
        </w:tc>
        <w:tc>
          <w:tcPr>
            <w:tcW w:w="15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16.2成员单位门急诊人次同比增幅高于牵头医院，开展住院服务的成员单位机构数、开放床位数、手术种类增加，基层就诊率同比提升2个百分点或达到65%以上</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2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16.3所有开设发热门诊的医共体牵头医院具备新冠病毒核酸检测能力</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9月底</w:t>
            </w:r>
          </w:p>
        </w:tc>
      </w:tr>
      <w:tr>
        <w:tblPrEx>
          <w:tblLayout w:type="fixed"/>
          <w:tblCellMar>
            <w:top w:w="0" w:type="dxa"/>
            <w:left w:w="0" w:type="dxa"/>
            <w:bottom w:w="0" w:type="dxa"/>
            <w:right w:w="0" w:type="dxa"/>
          </w:tblCellMar>
        </w:tblPrEx>
        <w:trPr>
          <w:trHeight w:val="597"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17.提升基本公共卫生服务能力</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17.1基本公共卫生服务项目（十二类）人均补助经费达65元以上</w:t>
            </w:r>
          </w:p>
        </w:tc>
        <w:tc>
          <w:tcPr>
            <w:tcW w:w="15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各医共体管委会办公室、各医共体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617"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17.2重点人群家庭医生签约率达70%以上</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17.3高血压和糖尿病患者规范管理率均达70%以上，管理人群血压、血糖控制率分别达45%、40%以上</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18.提升基层中医药服务能力</w:t>
            </w: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18.1医共体牵头医院100%设立中医科，成员单位100%建设规范化中医馆</w:t>
            </w:r>
          </w:p>
        </w:tc>
        <w:tc>
          <w:tcPr>
            <w:tcW w:w="15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各地卫生健康行政部门、各医共体</w:t>
            </w: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18.2县域内建立中医药适宜技术推广基地，每年开展6类以上中医药适宜技术培训</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12月底</w:t>
            </w:r>
          </w:p>
        </w:tc>
      </w:tr>
      <w:tr>
        <w:tblPrEx>
          <w:tblLayout w:type="fixed"/>
          <w:tblCellMar>
            <w:top w:w="0" w:type="dxa"/>
            <w:left w:w="0" w:type="dxa"/>
            <w:bottom w:w="0" w:type="dxa"/>
            <w:right w:w="0" w:type="dxa"/>
          </w:tblCellMar>
        </w:tblPrEx>
        <w:trPr>
          <w:trHeight w:val="750" w:hRule="atLeast"/>
          <w:jc w:val="center"/>
        </w:trPr>
        <w:tc>
          <w:tcPr>
            <w:tcW w:w="2397"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882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18.3县级中医医院门诊中药处方比例和出院患者中药饮片使用率分别同比提升5个百分点或达到60%以上</w:t>
            </w:r>
          </w:p>
        </w:tc>
        <w:tc>
          <w:tcPr>
            <w:tcW w:w="15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rPr>
                <w:rFonts w:hint="eastAsia" w:ascii="仿宋_GB2312" w:hAnsi="宋体" w:eastAsia="仿宋_GB2312" w:cs="仿宋_GB2312"/>
                <w:color w:val="000000"/>
                <w:sz w:val="28"/>
                <w:szCs w:val="28"/>
              </w:rPr>
            </w:pPr>
          </w:p>
        </w:tc>
        <w:tc>
          <w:tcPr>
            <w:tcW w:w="1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12月底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84DF6"/>
    <w:rsid w:val="4418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2020-12-07T09:20:00Z</dcterms:created>
  <dc:creator>admin</dc:creator>
  <cp:lastModifiedBy>admin</cp:lastModifiedBy>
  <dcterms:modified xsi:type="dcterms:W3CDTF">2020-12-07T09:20:24Z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