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kern w:val="0"/>
          <w:sz w:val="24"/>
        </w:rPr>
        <w:t>附录1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_____年度本地区国家免疫规划疫苗需求计划表</w:t>
      </w:r>
    </w:p>
    <w:p>
      <w:pPr>
        <w:spacing w:after="240" w:line="4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(供各级疾病预防控制中心和接种单位使用)</w:t>
      </w:r>
    </w:p>
    <w:tbl>
      <w:tblPr>
        <w:tblStyle w:val="3"/>
        <w:tblW w:w="82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600"/>
        <w:gridCol w:w="1806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b/>
                <w:color w:val="000000"/>
                <w:sz w:val="24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b/>
                <w:color w:val="000000"/>
                <w:sz w:val="24"/>
              </w:rPr>
              <w:t>疫苗品种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等线"/>
                <w:b/>
                <w:color w:val="000000"/>
                <w:sz w:val="24"/>
              </w:rPr>
            </w:pPr>
            <w:r>
              <w:rPr>
                <w:rFonts w:hint="eastAsia" w:ascii="宋体" w:hAnsi="宋体" w:cs="等线"/>
                <w:b/>
                <w:color w:val="000000"/>
                <w:sz w:val="24"/>
              </w:rPr>
              <w:t>采购数量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b/>
                <w:color w:val="000000"/>
                <w:sz w:val="24"/>
              </w:rPr>
              <w:t>（万支/万瓶）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皮内注射用卡介苗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重组乙型肝炎疫苗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脊髓灰质炎灭活疫苗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口服Ⅰ型Ⅲ型脊髓灰质炎减毒活疫苗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吸附无细胞百白破联合疫苗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吸附白喉破伤风联合疫苗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麻腮风联合减毒活疫苗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乙型脑炎减毒活疫苗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A群脑膜炎球菌多糖疫苗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10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A群C群脑膜炎球菌多糖疫苗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11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冻干甲型肝炎减毒活疫苗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  <w:sz w:val="24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12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  <w:sz w:val="24"/>
              </w:rPr>
            </w:pPr>
            <w:r>
              <w:rPr>
                <w:rFonts w:hint="eastAsia" w:ascii="宋体" w:hAnsi="宋体" w:cs="等线"/>
                <w:color w:val="000000"/>
                <w:sz w:val="24"/>
              </w:rPr>
              <w:t>双价肾</w:t>
            </w:r>
            <w:r>
              <w:rPr>
                <w:rFonts w:ascii="宋体" w:hAnsi="宋体" w:cs="等线"/>
                <w:color w:val="000000"/>
                <w:sz w:val="24"/>
              </w:rPr>
              <w:t>综合症</w:t>
            </w:r>
            <w:r>
              <w:rPr>
                <w:rFonts w:hint="eastAsia" w:ascii="宋体" w:hAnsi="宋体" w:cs="等线"/>
                <w:color w:val="000000"/>
                <w:sz w:val="24"/>
              </w:rPr>
              <w:t>出血热灭活疫苗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spacing w:line="480" w:lineRule="exact"/>
              <w:jc w:val="right"/>
              <w:rPr>
                <w:rFonts w:ascii="等线" w:hAnsi="等线" w:eastAsia="等线"/>
                <w:color w:val="000000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等线"/>
                <w:color w:val="00000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等线"/>
                <w:color w:val="000000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360"/>
        <w:rPr>
          <w:rFonts w:hint="eastAsia" w:ascii="宋体" w:hAnsi="宋体" w:cs="宋体"/>
        </w:rPr>
      </w:pPr>
    </w:p>
    <w:p>
      <w:pPr>
        <w:jc w:val="left"/>
        <w:rPr>
          <w:rFonts w:ascii="宋体" w:hAnsi="宋体" w:cs="宋体"/>
          <w:highlight w:val="yellow"/>
        </w:rPr>
      </w:pPr>
    </w:p>
    <w:p>
      <w:pPr>
        <w:jc w:val="left"/>
        <w:rPr>
          <w:rFonts w:ascii="宋体" w:hAnsi="宋体" w:cs="宋体"/>
          <w:highlight w:val="yellow"/>
        </w:rPr>
      </w:pPr>
    </w:p>
    <w:p>
      <w:pPr>
        <w:jc w:val="left"/>
        <w:rPr>
          <w:rFonts w:ascii="宋体" w:hAnsi="宋体" w:cs="宋体"/>
          <w:highlight w:val="yellow"/>
        </w:rPr>
      </w:pPr>
    </w:p>
    <w:p>
      <w:pPr>
        <w:jc w:val="left"/>
        <w:rPr>
          <w:rFonts w:ascii="宋体" w:hAnsi="宋体" w:cs="宋体"/>
          <w:highlight w:val="yellow"/>
        </w:rPr>
      </w:pPr>
    </w:p>
    <w:p>
      <w:pPr>
        <w:jc w:val="left"/>
        <w:rPr>
          <w:rFonts w:ascii="宋体" w:hAnsi="宋体" w:cs="宋体"/>
          <w:highlight w:val="yellow"/>
        </w:rPr>
      </w:pPr>
    </w:p>
    <w:p>
      <w:pPr>
        <w:spacing w:line="480" w:lineRule="auto"/>
        <w:ind w:right="42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报告单位（公章）： </w:t>
      </w:r>
    </w:p>
    <w:p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                                                 </w:t>
      </w:r>
      <w:r>
        <w:rPr>
          <w:rFonts w:hint="eastAsia"/>
          <w:sz w:val="22"/>
        </w:rPr>
        <w:t>报告日期:</w:t>
      </w:r>
      <w:r>
        <w:rPr>
          <w:sz w:val="2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10A5"/>
    <w:rsid w:val="556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2020-07-28T09:15:00Z</dcterms:created>
  <dc:creator>admin</dc:creator>
  <cp:lastModifiedBy>admin</cp:lastModifiedBy>
  <dcterms:modified xsi:type="dcterms:W3CDTF">2020-07-28T09:15:55Z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