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="156" w:beforeLines="50"/>
        <w:rPr>
          <w:rFonts w:hint="eastAsia" w:ascii="仿宋_GB2312" w:hAnsi="仿宋_GB2312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/>
          <w:color w:val="000000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spacing w:before="156" w:beforeLines="50"/>
        <w:ind w:firstLine="1606" w:firstLineChars="400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合法性审查意见采纳情况表</w:t>
      </w:r>
    </w:p>
    <w:tbl>
      <w:tblPr>
        <w:tblStyle w:val="5"/>
        <w:tblpPr w:leftFromText="180" w:rightFromText="180" w:vertAnchor="text" w:horzAnchor="page" w:tblpX="1552" w:tblpY="113"/>
        <w:tblOverlap w:val="never"/>
        <w:tblW w:w="93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4939"/>
        <w:gridCol w:w="701"/>
        <w:gridCol w:w="3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sz w:val="28"/>
                <w:szCs w:val="28"/>
              </w:rPr>
              <w:t>序号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意见建议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sz w:val="28"/>
                <w:szCs w:val="28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sz w:val="28"/>
                <w:szCs w:val="28"/>
              </w:rPr>
              <w:t>采纳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sz w:val="28"/>
                <w:szCs w:val="28"/>
                <w:lang w:eastAsia="zh-CN"/>
              </w:rPr>
              <w:t>采纳修改情况或</w:t>
            </w:r>
            <w:r>
              <w:rPr>
                <w:rFonts w:ascii="Times New Roman" w:hAnsi="Times New Roman" w:eastAsia="宋体"/>
                <w:b/>
                <w:sz w:val="28"/>
                <w:szCs w:val="28"/>
              </w:rPr>
              <w:t>不采纳理由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该文件属于行政规范性文件；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采纳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第三条第二款“存在执法风险”的表述不明确，建议明确。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采纳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修改为：存在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实体或程序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违法风险的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第四条“对于行政管理相对人安装非现场执法应用的数据采集等设备（统称非现场执法设备），落实自我监督主体责任的，作为卫生领域信用分类分级监管的依据。”建议修改为“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鼓励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行政管理相对人安装非现场执法应用的数据采集等设备（统称非现场执法设备）。对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已安装非现场执法设备并已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落实自我监督主体责任的，作为卫生健康领域信用分类分级监管的依据。”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采纳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按要求修改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第五条“卫生健康行政部门及其委托的卫生健康监督机构应明确、公示选取标准后选取或采用轮换机制”建议修改为“卫生健康行政部门及其委托的卫生健康监督机构应明确、公示非现场执法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监管对象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选取标准后选取或采用轮换机制”。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采纳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按要求修改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第六条建议征求财政厅意见。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green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原文：为鼓励非现场执法方式的应用和创新，执法单位的非现场执法所需的技术研发、设备采购和维护等非现场执法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经费需求，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报同级政府按规定程序列入财政预算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采纳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修改为：为鼓励非现场执法方式的应用和创新，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执法单位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应为非现场执法所需的技术研发、设备采购和维护等非现场执法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CN"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提供经费保障。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第八条第一款“数据管理中心根据风险等级确定处置时限并接收风险处置结果”由于不是我委职责，建议删除。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第二款建议删除，与第七条重复。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采纳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第一款修改为：</w:t>
            </w:r>
            <w:r>
              <w:rPr>
                <w:rFonts w:hint="eastAsia" w:ascii="宋体" w:hAnsi="宋体" w:eastAsia="宋体" w:cs="宋体"/>
                <w:color w:val="111F2C"/>
                <w:sz w:val="24"/>
                <w:szCs w:val="24"/>
                <w:shd w:val="clear" w:color="auto" w:fill="FFFFFF"/>
              </w:rPr>
              <w:t>非现场执法信息</w:t>
            </w:r>
            <w:r>
              <w:rPr>
                <w:rFonts w:hint="eastAsia" w:ascii="宋体" w:hAnsi="宋体" w:eastAsia="宋体" w:cs="宋体"/>
                <w:color w:val="111F2C"/>
                <w:sz w:val="24"/>
                <w:szCs w:val="24"/>
                <w:shd w:val="clear" w:color="auto" w:fill="FFFFFF"/>
                <w:lang w:val="en-US" w:eastAsia="zh-CN"/>
              </w:rPr>
              <w:t>应用</w:t>
            </w:r>
            <w:r>
              <w:rPr>
                <w:rFonts w:hint="eastAsia" w:ascii="宋体" w:hAnsi="宋体" w:eastAsia="宋体" w:cs="宋体"/>
                <w:color w:val="111F2C"/>
                <w:sz w:val="24"/>
                <w:szCs w:val="24"/>
                <w:shd w:val="clear" w:color="auto" w:fill="FFFFFF"/>
              </w:rPr>
              <w:t>由全省统筹推进，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111F2C"/>
                <w:spacing w:val="0"/>
                <w:sz w:val="24"/>
                <w:szCs w:val="24"/>
                <w:shd w:val="clear" w:color="auto" w:fill="FFFFFF"/>
              </w:rPr>
              <w:t>省行政执法平台推送的非现场执法信息，执法人员处置应在规定时限内完成</w:t>
            </w:r>
            <w:r>
              <w:rPr>
                <w:rFonts w:hint="eastAsia" w:ascii="宋体" w:hAnsi="宋体" w:eastAsia="宋体" w:cs="宋体"/>
                <w:b/>
                <w:bCs/>
                <w:color w:val="111F2C"/>
                <w:sz w:val="24"/>
                <w:szCs w:val="24"/>
                <w:shd w:val="clear" w:color="auto" w:fill="FFFFFF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第二款删除。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第二、三、四章执法主体应与第一章对应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采纳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第二条中明确各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级卫生健康行政部门及其委托的卫生健康监督机构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统称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执法单位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，后文全部用统称。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第十八条第二款“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可当场作出行政处罚决定的，直接出具执法文书。不能当场作出行政处罚决定的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”建议修改为“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符合《行政处罚法》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关于当场作出行政处罚决定条件的，可直接出具执法文书。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不能直接出具执法文书的”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采纳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按要求修改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第二十条第一款“非现场执法案件”建议修改为“非现场执法案件的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执法文书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”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采纳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修改为：执法文书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第二十二条“按照《浙江省卫生健康行政执法责任追究办法》处理”建议修改为“按照相关规定处理”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采纳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按要求修改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第二十三条“故意损毁、擅自移动或者拆除非现场执法设备的”建议修改为“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未按约定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故意损毁、擅自移动或者拆除非现场执法设备的”。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采纳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按要求修改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第二十五条解释条款建议删除。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采纳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按要求删除。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第二十七条有效期的规定建议删除。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采纳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按要求删除。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具体施行日期应当明确，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如无保障国家安全、重大公共利益的需要，或者发布后不立即施行将有碍法律、法规、规章和国家政策执行的情况，建议在文件自公布之日起30日后施行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采纳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施行日期将根据发文日期明确到具体日期。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81BDB"/>
    <w:rsid w:val="4728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beforeAutospacing="1"/>
    </w:pPr>
    <w:rPr>
      <w:rFonts w:cs="黑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2020-09-21T03:09:00Z</dcterms:created>
  <dc:creator>admin</dc:creator>
  <cp:lastModifiedBy>admin</cp:lastModifiedBy>
  <dcterms:modified xsi:type="dcterms:W3CDTF">2020-09-21T03:10:48Z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