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新指标统计口径与指标要求一览表</w:t>
      </w:r>
    </w:p>
    <w:tbl>
      <w:tblPr>
        <w:tblStyle w:val="4"/>
        <w:tblW w:w="8844" w:type="dxa"/>
        <w:jc w:val="center"/>
        <w:tblInd w:w="0" w:type="dxa"/>
        <w:tblLayout w:type="fixed"/>
        <w:tblCellMar>
          <w:top w:w="0" w:type="dxa"/>
          <w:left w:w="108" w:type="dxa"/>
          <w:bottom w:w="0" w:type="dxa"/>
          <w:right w:w="108" w:type="dxa"/>
        </w:tblCellMar>
      </w:tblPr>
      <w:tblGrid>
        <w:gridCol w:w="2268"/>
        <w:gridCol w:w="5192"/>
        <w:gridCol w:w="1384"/>
      </w:tblGrid>
      <w:tr>
        <w:tblPrEx>
          <w:tblLayout w:type="fixed"/>
          <w:tblCellMar>
            <w:top w:w="0" w:type="dxa"/>
            <w:left w:w="108" w:type="dxa"/>
            <w:bottom w:w="0" w:type="dxa"/>
            <w:right w:w="108" w:type="dxa"/>
          </w:tblCellMar>
        </w:tblPrEx>
        <w:trPr>
          <w:trHeight w:val="460" w:hRule="atLeast"/>
          <w:tblHeader/>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rPr>
              <w:t>新指标</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rPr>
              <w:t>统计口径</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rPr>
              <w:t>指标要求</w:t>
            </w:r>
          </w:p>
        </w:tc>
      </w:tr>
      <w:tr>
        <w:tblPrEx>
          <w:tblLayout w:type="fixed"/>
          <w:tblCellMar>
            <w:top w:w="0" w:type="dxa"/>
            <w:left w:w="108" w:type="dxa"/>
            <w:bottom w:w="0" w:type="dxa"/>
            <w:right w:w="108" w:type="dxa"/>
          </w:tblCellMar>
        </w:tblPrEx>
        <w:trPr>
          <w:trHeight w:val="2440"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spacing w:line="340" w:lineRule="exact"/>
              <w:jc w:val="center"/>
              <w:rPr>
                <w:rFonts w:eastAsia="仿宋_GB2312"/>
                <w:sz w:val="24"/>
                <w:szCs w:val="21"/>
              </w:rPr>
            </w:pPr>
            <w:r>
              <w:rPr>
                <w:rFonts w:eastAsia="仿宋_GB2312"/>
                <w:sz w:val="24"/>
                <w:szCs w:val="21"/>
              </w:rPr>
              <w:t>居民规范化电子健康档案覆盖人数（人）</w:t>
            </w:r>
          </w:p>
        </w:tc>
        <w:tc>
          <w:tcPr>
            <w:tcW w:w="51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340" w:lineRule="exact"/>
              <w:jc w:val="left"/>
              <w:rPr>
                <w:rFonts w:eastAsia="仿宋_GB2312"/>
                <w:sz w:val="24"/>
                <w:szCs w:val="21"/>
              </w:rPr>
            </w:pPr>
            <w:r>
              <w:rPr>
                <w:rFonts w:eastAsia="仿宋_GB2312"/>
                <w:sz w:val="24"/>
                <w:szCs w:val="21"/>
              </w:rPr>
              <w:t>是指到统计时间点，历年累计规范化电子健康档案覆盖人数。规范化电子健康档案覆盖人数是指电子健康档案管理系统完成健康档案封面和个人基本信息表，按照《国家基本公共卫生服务规范》规范记录健康体检结果、重点人群健康管理记录，以及其他医疗卫生服务记录等。其中 0-6 岁儿童不需要填写个人基本信息表，其基本信息填写在“新生儿家庭访视记录 表”上。辖区内规范化电子健康档案覆盖人数应减去死亡、 迁出、失访（即不明去向的永久性失访）的健康档案终止人数。注意排除重复建档情况。</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40" w:lineRule="exact"/>
              <w:jc w:val="center"/>
              <w:rPr>
                <w:rFonts w:eastAsia="仿宋_GB2312"/>
                <w:sz w:val="24"/>
                <w:szCs w:val="21"/>
              </w:rPr>
            </w:pPr>
          </w:p>
        </w:tc>
      </w:tr>
      <w:tr>
        <w:tblPrEx>
          <w:tblLayout w:type="fixed"/>
          <w:tblCellMar>
            <w:top w:w="0" w:type="dxa"/>
            <w:left w:w="108" w:type="dxa"/>
            <w:bottom w:w="0" w:type="dxa"/>
            <w:right w:w="108" w:type="dxa"/>
          </w:tblCellMar>
        </w:tblPrEx>
        <w:trPr>
          <w:trHeight w:val="1050"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spacing w:line="340" w:lineRule="exact"/>
              <w:jc w:val="center"/>
              <w:rPr>
                <w:rFonts w:eastAsia="仿宋_GB2312"/>
                <w:sz w:val="24"/>
                <w:szCs w:val="21"/>
              </w:rPr>
            </w:pPr>
            <w:r>
              <w:rPr>
                <w:rFonts w:eastAsia="仿宋_GB2312"/>
                <w:sz w:val="24"/>
                <w:szCs w:val="21"/>
              </w:rPr>
              <w:t>居民规范化电子健康档案覆盖率（%）</w:t>
            </w:r>
          </w:p>
        </w:tc>
        <w:tc>
          <w:tcPr>
            <w:tcW w:w="51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spacing w:line="340" w:lineRule="exact"/>
              <w:jc w:val="left"/>
              <w:rPr>
                <w:rFonts w:eastAsia="仿宋_GB2312"/>
                <w:sz w:val="24"/>
                <w:szCs w:val="21"/>
              </w:rPr>
            </w:pPr>
            <w:r>
              <w:rPr>
                <w:rFonts w:eastAsia="仿宋_GB2312"/>
                <w:sz w:val="24"/>
                <w:szCs w:val="21"/>
              </w:rPr>
              <w:t>居民规范化电子健康档案覆盖人数/辖区内常住居民数</w:t>
            </w:r>
            <w:r>
              <w:rPr>
                <w:rFonts w:hint="eastAsia" w:eastAsia="仿宋_GB2312"/>
                <w:sz w:val="24"/>
                <w:szCs w:val="21"/>
              </w:rPr>
              <w:t>×</w:t>
            </w:r>
            <w:r>
              <w:rPr>
                <w:rFonts w:eastAsia="仿宋_GB2312"/>
                <w:sz w:val="24"/>
                <w:szCs w:val="21"/>
              </w:rPr>
              <w:t>100%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60%</w:t>
            </w:r>
          </w:p>
        </w:tc>
      </w:tr>
      <w:tr>
        <w:tblPrEx>
          <w:tblLayout w:type="fixed"/>
          <w:tblCellMar>
            <w:top w:w="0" w:type="dxa"/>
            <w:left w:w="108" w:type="dxa"/>
            <w:bottom w:w="0" w:type="dxa"/>
            <w:right w:w="108" w:type="dxa"/>
          </w:tblCellMar>
        </w:tblPrEx>
        <w:trPr>
          <w:trHeight w:val="140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辖区内接受1次及以上眼保健和视力检查的0</w:t>
            </w:r>
            <w:r>
              <w:rPr>
                <w:rFonts w:hint="eastAsia" w:eastAsia="仿宋_GB2312"/>
                <w:sz w:val="24"/>
                <w:szCs w:val="21"/>
              </w:rPr>
              <w:t>—</w:t>
            </w:r>
            <w:r>
              <w:rPr>
                <w:rFonts w:eastAsia="仿宋_GB2312"/>
                <w:sz w:val="24"/>
                <w:szCs w:val="21"/>
              </w:rPr>
              <w:t>6岁儿童数（人）</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指从年初到统计时间点，辖区内接受1次及以上眼保健和视力检查的0～6岁儿童数，其中0～3岁儿童检查眼部是否有异常，4～6岁儿童检查视力。</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40" w:lineRule="exact"/>
              <w:jc w:val="center"/>
              <w:rPr>
                <w:rFonts w:eastAsia="仿宋_GB2312"/>
                <w:sz w:val="24"/>
                <w:szCs w:val="21"/>
              </w:rPr>
            </w:pPr>
          </w:p>
        </w:tc>
      </w:tr>
      <w:tr>
        <w:tblPrEx>
          <w:tblLayout w:type="fixed"/>
          <w:tblCellMar>
            <w:top w:w="0" w:type="dxa"/>
            <w:left w:w="108" w:type="dxa"/>
            <w:bottom w:w="0" w:type="dxa"/>
            <w:right w:w="108" w:type="dxa"/>
          </w:tblCellMar>
        </w:tblPrEx>
        <w:trPr>
          <w:trHeight w:val="166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0</w:t>
            </w:r>
            <w:r>
              <w:rPr>
                <w:rFonts w:hint="eastAsia" w:eastAsia="仿宋_GB2312"/>
                <w:sz w:val="24"/>
                <w:szCs w:val="21"/>
              </w:rPr>
              <w:t>—</w:t>
            </w:r>
            <w:r>
              <w:rPr>
                <w:rFonts w:eastAsia="仿宋_GB2312"/>
                <w:sz w:val="24"/>
                <w:szCs w:val="21"/>
              </w:rPr>
              <w:t>6岁儿童眼保健和视力检查覆盖率（%）</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辖区内接受1次及以上眼保健和视力检查的0～6岁儿童数/辖区内0～6岁儿童数</w:t>
            </w:r>
            <w:r>
              <w:rPr>
                <w:rFonts w:hint="eastAsia" w:eastAsia="仿宋_GB2312"/>
                <w:sz w:val="24"/>
                <w:szCs w:val="21"/>
              </w:rPr>
              <w:t>×</w:t>
            </w:r>
            <w:r>
              <w:rPr>
                <w:rFonts w:eastAsia="仿宋_GB2312"/>
                <w:sz w:val="24"/>
                <w:szCs w:val="21"/>
              </w:rPr>
              <w:t>100%。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90%</w:t>
            </w:r>
          </w:p>
        </w:tc>
      </w:tr>
      <w:tr>
        <w:tblPrEx>
          <w:tblLayout w:type="fixed"/>
          <w:tblCellMar>
            <w:top w:w="0" w:type="dxa"/>
            <w:left w:w="108" w:type="dxa"/>
            <w:bottom w:w="0" w:type="dxa"/>
            <w:right w:w="108" w:type="dxa"/>
          </w:tblCellMar>
        </w:tblPrEx>
        <w:trPr>
          <w:trHeight w:val="140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65岁及以上老年人城乡社区规范健康管理服务人数（人）</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rPr>
              <w:t>指从年初到统计时间点，在基层医疗卫生机构接受健康管理的 65 岁及以上常住居民数。接受健康管理是指建立了健康档案、接受了健康体检，健康指导、健康体检表填写完整。</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40" w:lineRule="exact"/>
              <w:jc w:val="center"/>
              <w:rPr>
                <w:rFonts w:eastAsia="仿宋_GB2312"/>
                <w:sz w:val="24"/>
                <w:szCs w:val="21"/>
              </w:rPr>
            </w:pPr>
          </w:p>
        </w:tc>
      </w:tr>
      <w:tr>
        <w:tblPrEx>
          <w:tblLayout w:type="fixed"/>
          <w:tblCellMar>
            <w:top w:w="0" w:type="dxa"/>
            <w:left w:w="108" w:type="dxa"/>
            <w:bottom w:w="0" w:type="dxa"/>
            <w:right w:w="108" w:type="dxa"/>
          </w:tblCellMar>
        </w:tblPrEx>
        <w:trPr>
          <w:trHeight w:val="140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65岁及以上老年人城乡社区规范健康管理服务率（%）</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65 岁及以上老年人城乡社区规范健康管理服务人数/ 辖区内 65 岁及以上常住居民数</w:t>
            </w:r>
            <w:r>
              <w:rPr>
                <w:rFonts w:hint="eastAsia" w:eastAsia="仿宋_GB2312"/>
                <w:sz w:val="24"/>
                <w:szCs w:val="21"/>
              </w:rPr>
              <w:t>×</w:t>
            </w:r>
            <w:r>
              <w:rPr>
                <w:rFonts w:eastAsia="仿宋_GB2312"/>
                <w:sz w:val="24"/>
                <w:szCs w:val="21"/>
              </w:rPr>
              <w:t>100%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60%</w:t>
            </w:r>
          </w:p>
        </w:tc>
      </w:tr>
      <w:tr>
        <w:tblPrEx>
          <w:tblLayout w:type="fixed"/>
          <w:tblCellMar>
            <w:top w:w="0" w:type="dxa"/>
            <w:left w:w="108" w:type="dxa"/>
            <w:bottom w:w="0" w:type="dxa"/>
            <w:right w:w="108" w:type="dxa"/>
          </w:tblCellMar>
        </w:tblPrEx>
        <w:trPr>
          <w:trHeight w:val="175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在基层医疗卫生机构按照规范要求提供高血压患者健康管理服务的人数（人）</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rPr>
              <w:t>指从年初到统计时间点，在基层医疗卫生机构按照规范要求提供高血压患者健康管理服务的人数。规范管理指建档、定期随访管理（每年提供至少4次面对面随访和1次较全面的健康体检）和档案填写规范（信息真实，必填项目完整且无逻辑错误）。半年报需从年初到统计时间点随访2次及以上；年报需从年初到统计时间点完成4次随访和1次健康体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40" w:lineRule="exact"/>
              <w:jc w:val="center"/>
              <w:rPr>
                <w:rFonts w:eastAsia="仿宋_GB2312"/>
                <w:sz w:val="24"/>
                <w:szCs w:val="21"/>
              </w:rPr>
            </w:pPr>
          </w:p>
        </w:tc>
      </w:tr>
      <w:tr>
        <w:tblPrEx>
          <w:tblLayout w:type="fixed"/>
          <w:tblCellMar>
            <w:top w:w="0" w:type="dxa"/>
            <w:left w:w="108" w:type="dxa"/>
            <w:bottom w:w="0" w:type="dxa"/>
            <w:right w:w="108" w:type="dxa"/>
          </w:tblCellMar>
        </w:tblPrEx>
        <w:trPr>
          <w:trHeight w:val="112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rPr>
              <w:t>高血压患者基层规范管理服务率（</w:t>
            </w:r>
            <w:r>
              <w:rPr>
                <w:rFonts w:eastAsia="仿宋_GB2312"/>
              </w:rPr>
              <w:t>%）</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在基层医疗卫生机构按照规范要求提供高血压患者健康管理服务的人数/ 年内辖区内已管理的高血压患者人数</w:t>
            </w:r>
            <w:r>
              <w:rPr>
                <w:rFonts w:hint="eastAsia" w:eastAsia="仿宋_GB2312"/>
                <w:sz w:val="24"/>
                <w:szCs w:val="21"/>
              </w:rPr>
              <w:t>×</w:t>
            </w:r>
            <w:r>
              <w:rPr>
                <w:rFonts w:eastAsia="仿宋_GB2312"/>
                <w:sz w:val="24"/>
                <w:szCs w:val="21"/>
              </w:rPr>
              <w:t>100%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60%</w:t>
            </w:r>
          </w:p>
        </w:tc>
      </w:tr>
      <w:tr>
        <w:tblPrEx>
          <w:tblLayout w:type="fixed"/>
          <w:tblCellMar>
            <w:top w:w="0" w:type="dxa"/>
            <w:left w:w="108" w:type="dxa"/>
            <w:bottom w:w="0" w:type="dxa"/>
            <w:right w:w="108" w:type="dxa"/>
          </w:tblCellMar>
        </w:tblPrEx>
        <w:trPr>
          <w:trHeight w:val="210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在基层医疗卫生机构按照规范要求提供2型糖尿病患者健康管理服务的人数（人）</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rPr>
              <w:t>指从年初到统计时间点，在基层医疗卫生机构按照规范要求提供 2 型糖尿病患者健康管理服务的人数。规范管理指建档、定期随访管理（其中每年提供至少4次面对面随访、4次免费空腹血糖检测和1次较全面的健康体检）和档案填写规范（信息真实，必填项目完整且无逻辑错误）。半年报需从年初到统计时间点随访2次及以上；年报需从年初到统计时间点完成4次随访和1次健康体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40" w:lineRule="exact"/>
              <w:jc w:val="center"/>
              <w:rPr>
                <w:rFonts w:eastAsia="仿宋_GB2312"/>
                <w:sz w:val="24"/>
                <w:szCs w:val="21"/>
              </w:rPr>
            </w:pPr>
          </w:p>
        </w:tc>
      </w:tr>
      <w:tr>
        <w:tblPrEx>
          <w:tblLayout w:type="fixed"/>
          <w:tblCellMar>
            <w:top w:w="0" w:type="dxa"/>
            <w:left w:w="108" w:type="dxa"/>
            <w:bottom w:w="0" w:type="dxa"/>
            <w:right w:w="108" w:type="dxa"/>
          </w:tblCellMar>
        </w:tblPrEx>
        <w:trPr>
          <w:trHeight w:val="112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2型糖尿病患者基层规范管理服务率（%）</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在基层医疗卫生机构按照规范要求提供 2 型糖尿病患者健康管理服务的人数/年内辖区内已管理的 2 型糖尿病患者人数</w:t>
            </w:r>
            <w:r>
              <w:rPr>
                <w:rFonts w:hint="eastAsia" w:eastAsia="仿宋_GB2312"/>
                <w:sz w:val="24"/>
                <w:szCs w:val="21"/>
              </w:rPr>
              <w:t>×</w:t>
            </w:r>
            <w:r>
              <w:rPr>
                <w:rFonts w:eastAsia="仿宋_GB2312"/>
                <w:sz w:val="24"/>
                <w:szCs w:val="21"/>
              </w:rPr>
              <w:t>100%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60%</w:t>
            </w:r>
          </w:p>
        </w:tc>
      </w:tr>
      <w:tr>
        <w:tblPrEx>
          <w:tblLayout w:type="fixed"/>
          <w:tblCellMar>
            <w:top w:w="0" w:type="dxa"/>
            <w:left w:w="108" w:type="dxa"/>
            <w:bottom w:w="0" w:type="dxa"/>
            <w:right w:w="108" w:type="dxa"/>
          </w:tblCellMar>
        </w:tblPrEx>
        <w:trPr>
          <w:trHeight w:val="140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社区在册居家严重精神障碍患者健康管理人数（人）</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指从年初到统计时间点，辖区内按照规范要求进行管理的社区在册居家严重精神障碍患者人数。半年报需从年初到统计时间点随访2次及以上；年报需从年初到统计时间点完成4次随访和1次健康体检。相邻两次间隔时间≤3个月。</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40" w:lineRule="exact"/>
              <w:jc w:val="center"/>
              <w:rPr>
                <w:rFonts w:eastAsia="仿宋_GB2312"/>
                <w:sz w:val="24"/>
                <w:szCs w:val="21"/>
              </w:rPr>
            </w:pPr>
          </w:p>
        </w:tc>
      </w:tr>
      <w:tr>
        <w:tblPrEx>
          <w:tblLayout w:type="fixed"/>
          <w:tblCellMar>
            <w:top w:w="0" w:type="dxa"/>
            <w:left w:w="108" w:type="dxa"/>
            <w:bottom w:w="0" w:type="dxa"/>
            <w:right w:w="108" w:type="dxa"/>
          </w:tblCellMar>
        </w:tblPrEx>
        <w:trPr>
          <w:trHeight w:val="1400" w:hRule="atLeast"/>
          <w:jc w:val="center"/>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社区在册居家严重精神障碍患者健康管理率（%）</w:t>
            </w:r>
          </w:p>
        </w:tc>
        <w:tc>
          <w:tcPr>
            <w:tcW w:w="519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left"/>
              <w:rPr>
                <w:rFonts w:eastAsia="仿宋_GB2312"/>
                <w:sz w:val="24"/>
                <w:szCs w:val="21"/>
              </w:rPr>
            </w:pPr>
            <w:r>
              <w:rPr>
                <w:rFonts w:eastAsia="仿宋_GB2312"/>
                <w:sz w:val="24"/>
                <w:szCs w:val="21"/>
              </w:rPr>
              <w:t>社区在册居家严重精神障碍患者健康管理人数（人）/辖区内登记在册的确诊严重精神障碍患者人数（人）</w:t>
            </w:r>
            <w:r>
              <w:rPr>
                <w:rFonts w:hint="eastAsia" w:eastAsia="仿宋_GB2312"/>
                <w:sz w:val="24"/>
                <w:szCs w:val="21"/>
              </w:rPr>
              <w:t>×</w:t>
            </w:r>
            <w:r>
              <w:rPr>
                <w:rFonts w:eastAsia="仿宋_GB2312"/>
                <w:sz w:val="24"/>
                <w:szCs w:val="21"/>
              </w:rPr>
              <w:t>100%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40" w:lineRule="exact"/>
              <w:jc w:val="center"/>
              <w:rPr>
                <w:rFonts w:eastAsia="仿宋_GB2312"/>
                <w:sz w:val="24"/>
                <w:szCs w:val="21"/>
              </w:rPr>
            </w:pPr>
            <w:r>
              <w:rPr>
                <w:rFonts w:eastAsia="仿宋_GB2312"/>
                <w:sz w:val="24"/>
                <w:szCs w:val="21"/>
              </w:rPr>
              <w:t>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0789F"/>
    <w:rsid w:val="65B0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rPr>
      <w:rFonts w:eastAsia="仿宋_GB2312"/>
      <w:sz w:val="32"/>
      <w:szCs w:val="22"/>
    </w:rPr>
  </w:style>
  <w:style w:type="paragraph" w:styleId="3">
    <w:name w:val="Body Text"/>
    <w:basedOn w:val="1"/>
    <w:unhideWhenUsed/>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2021-09-10T09:46:00Z</dcterms:created>
  <dc:creator>admin</dc:creator>
  <cp:lastModifiedBy>admin</cp:lastModifiedBy>
  <dcterms:modified xsi:type="dcterms:W3CDTF">2021-09-10T09:47:11Z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