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jc w:val="left"/>
        <w:rPr>
          <w:rFonts w:eastAsia="黑体"/>
          <w:sz w:val="30"/>
          <w:szCs w:val="30"/>
        </w:rPr>
      </w:pPr>
      <w:r>
        <w:rPr>
          <w:rFonts w:eastAsia="黑体"/>
          <w:sz w:val="30"/>
          <w:szCs w:val="30"/>
        </w:rPr>
        <w:t>附件</w:t>
      </w:r>
    </w:p>
    <w:p>
      <w:pPr>
        <w:spacing w:line="660" w:lineRule="exact"/>
        <w:jc w:val="center"/>
        <w:rPr>
          <w:rFonts w:eastAsia="文鼎小标宋简"/>
          <w:sz w:val="44"/>
          <w:szCs w:val="44"/>
        </w:rPr>
      </w:pPr>
    </w:p>
    <w:p>
      <w:pPr>
        <w:spacing w:line="660" w:lineRule="exact"/>
        <w:jc w:val="center"/>
        <w:rPr>
          <w:rFonts w:eastAsia="文鼎小标宋简"/>
          <w:sz w:val="44"/>
          <w:szCs w:val="44"/>
        </w:rPr>
      </w:pPr>
      <w:r>
        <w:rPr>
          <w:rFonts w:eastAsia="文鼎小标宋简"/>
          <w:sz w:val="44"/>
          <w:szCs w:val="44"/>
        </w:rPr>
        <w:t>2023年度局省共建中医药现代化研究计划</w:t>
      </w:r>
    </w:p>
    <w:p>
      <w:pPr>
        <w:spacing w:line="660" w:lineRule="exact"/>
        <w:jc w:val="center"/>
        <w:rPr>
          <w:b/>
          <w:bCs/>
          <w:sz w:val="44"/>
          <w:szCs w:val="44"/>
        </w:rPr>
      </w:pPr>
      <w:r>
        <w:rPr>
          <w:rFonts w:eastAsia="文鼎小标宋简"/>
          <w:sz w:val="44"/>
          <w:szCs w:val="44"/>
        </w:rPr>
        <w:t>重大项目申报指南</w:t>
      </w:r>
    </w:p>
    <w:p>
      <w:pPr>
        <w:overflowPunct w:val="0"/>
        <w:autoSpaceDE w:val="0"/>
        <w:autoSpaceDN w:val="0"/>
        <w:spacing w:line="660" w:lineRule="exact"/>
        <w:ind w:firstLine="643" w:firstLineChars="200"/>
        <w:rPr>
          <w:rFonts w:eastAsia="仿宋_GB2312"/>
          <w:b/>
          <w:bCs/>
          <w:kern w:val="0"/>
          <w:sz w:val="32"/>
          <w:szCs w:val="32"/>
          <w:shd w:val="clear" w:color="auto" w:fill="FFFFFF"/>
        </w:rPr>
      </w:pPr>
    </w:p>
    <w:p>
      <w:pPr>
        <w:spacing w:line="660" w:lineRule="exact"/>
        <w:ind w:firstLine="600" w:firstLineChars="200"/>
        <w:jc w:val="left"/>
        <w:rPr>
          <w:rFonts w:eastAsia="黑体"/>
          <w:sz w:val="30"/>
          <w:szCs w:val="30"/>
        </w:rPr>
      </w:pPr>
      <w:r>
        <w:rPr>
          <w:rFonts w:eastAsia="黑体"/>
          <w:sz w:val="30"/>
          <w:szCs w:val="30"/>
        </w:rPr>
        <w:t>领域一：恶性肿瘤中西医结合精准诊治新技术、新方案</w:t>
      </w:r>
    </w:p>
    <w:p>
      <w:pPr>
        <w:overflowPunct w:val="0"/>
        <w:autoSpaceDE w:val="0"/>
        <w:autoSpaceDN w:val="0"/>
        <w:spacing w:line="660" w:lineRule="exact"/>
        <w:ind w:firstLine="643" w:firstLineChars="200"/>
        <w:rPr>
          <w:rFonts w:eastAsia="仿宋_GB2312"/>
          <w:b/>
          <w:bCs/>
          <w:kern w:val="0"/>
          <w:sz w:val="32"/>
          <w:szCs w:val="32"/>
        </w:rPr>
      </w:pPr>
      <w:r>
        <w:rPr>
          <w:rFonts w:eastAsia="仿宋_GB2312"/>
          <w:b/>
          <w:bCs/>
          <w:kern w:val="0"/>
          <w:sz w:val="32"/>
          <w:szCs w:val="32"/>
          <w:shd w:val="clear" w:color="auto" w:fill="FFFFFF"/>
        </w:rPr>
        <w:t>主要研究内容：</w:t>
      </w:r>
      <w:r>
        <w:rPr>
          <w:rFonts w:eastAsia="仿宋_GB2312"/>
          <w:kern w:val="0"/>
          <w:sz w:val="32"/>
          <w:szCs w:val="32"/>
          <w:shd w:val="clear" w:color="auto" w:fill="FFFFFF"/>
        </w:rPr>
        <w:t>围绕肺癌、胃癌、肠癌、淋巴瘤、脑胶质瘤，运用中西医结合、中医特色治法及治疗手段进行精准干预，</w:t>
      </w:r>
      <w:r>
        <w:rPr>
          <w:rStyle w:val="6"/>
          <w:rFonts w:eastAsia="仿宋_GB2312"/>
          <w:kern w:val="0"/>
          <w:sz w:val="32"/>
          <w:szCs w:val="32"/>
        </w:rPr>
        <w:t>综合分析临床证候特征、形态学特征、分子生物学特征和特异性标记物等，研发中西医结合肿瘤精准诊疗的关键技术和有效策略。</w:t>
      </w:r>
      <w:r>
        <w:rPr>
          <w:rFonts w:eastAsia="仿宋_GB2312"/>
          <w:kern w:val="0"/>
          <w:sz w:val="32"/>
          <w:szCs w:val="32"/>
          <w:shd w:val="clear" w:color="auto" w:fill="FFFFFF"/>
        </w:rPr>
        <w:t>在细胞、分子、基因多个层面深入研究其免疫特性和证型演变规律，明确中西医结合精准诊治的关键环节，探明中西医结合治疗的科学原理，形成中西医结合精准诊治恶性肿瘤新技术和新方案。</w:t>
      </w:r>
    </w:p>
    <w:p>
      <w:pPr>
        <w:widowControl/>
        <w:spacing w:line="660" w:lineRule="exact"/>
        <w:ind w:firstLine="643" w:firstLineChars="200"/>
        <w:rPr>
          <w:rFonts w:eastAsia="仿宋_GB2312"/>
          <w:kern w:val="0"/>
          <w:sz w:val="32"/>
          <w:szCs w:val="32"/>
          <w:shd w:val="clear" w:color="auto" w:fill="FFFFFF"/>
        </w:rPr>
      </w:pPr>
      <w:r>
        <w:rPr>
          <w:rFonts w:eastAsia="仿宋_GB2312"/>
          <w:b/>
          <w:bCs/>
          <w:kern w:val="0"/>
          <w:sz w:val="32"/>
          <w:szCs w:val="32"/>
          <w:shd w:val="clear" w:color="auto" w:fill="FFFFFF"/>
        </w:rPr>
        <w:t>成果考核形式：</w:t>
      </w:r>
      <w:r>
        <w:rPr>
          <w:rFonts w:eastAsia="仿宋_GB2312"/>
          <w:kern w:val="0"/>
          <w:sz w:val="32"/>
          <w:szCs w:val="32"/>
          <w:shd w:val="clear" w:color="auto" w:fill="FFFFFF"/>
        </w:rPr>
        <w:t>形成1项恶性肿瘤的中西医结合精准治疗新方案或新技术，完成诊疗策略的优化研究，建立并验证恶性肿瘤治疗缓解的标准，更新诊疗专家共识及指南，在5家以上医院推广应用。</w:t>
      </w:r>
    </w:p>
    <w:p>
      <w:pPr>
        <w:widowControl/>
        <w:spacing w:line="660" w:lineRule="exact"/>
        <w:ind w:firstLine="600" w:firstLineChars="200"/>
        <w:jc w:val="left"/>
        <w:rPr>
          <w:rFonts w:eastAsia="黑体"/>
          <w:sz w:val="30"/>
          <w:szCs w:val="30"/>
        </w:rPr>
      </w:pPr>
      <w:r>
        <w:rPr>
          <w:rFonts w:eastAsia="黑体"/>
          <w:sz w:val="30"/>
          <w:szCs w:val="30"/>
        </w:rPr>
        <w:t>领域二：中医优势病种诊疗关键技术和方案研究</w:t>
      </w:r>
    </w:p>
    <w:p>
      <w:pPr>
        <w:spacing w:line="660" w:lineRule="exact"/>
        <w:ind w:firstLine="643" w:firstLineChars="200"/>
        <w:rPr>
          <w:rFonts w:eastAsia="仿宋_GB2312"/>
          <w:sz w:val="32"/>
          <w:szCs w:val="32"/>
        </w:rPr>
      </w:pPr>
      <w:r>
        <w:rPr>
          <w:rFonts w:eastAsia="仿宋_GB2312"/>
          <w:b/>
          <w:bCs/>
          <w:kern w:val="0"/>
          <w:sz w:val="32"/>
          <w:szCs w:val="32"/>
          <w:shd w:val="clear" w:color="auto" w:fill="FFFFFF"/>
        </w:rPr>
        <w:t>主要研究内容：</w:t>
      </w:r>
      <w:r>
        <w:rPr>
          <w:rFonts w:eastAsia="仿宋_GB2312"/>
          <w:sz w:val="32"/>
          <w:szCs w:val="32"/>
        </w:rPr>
        <w:t>针对肺结节、肺纤维化和肺损伤、肿瘤骨转移疼痛、骨质疏松、类风湿性关节炎、干燥综合征、口腔粘膜病、牙周病、难治性肾病、糖尿病、肛肠便秘病、急性中毒，以提升临床疗效为切入点，开展中医药或中西医联合攻关，研究疾病的中医证候特征演变规律，明确重点环节，开展多中心循证医学研究，形成中西医结合优势互补的关键技术与诊疗方案，并建立体现中医特色的疗效评价指标体系。</w:t>
      </w:r>
    </w:p>
    <w:p>
      <w:pPr>
        <w:tabs>
          <w:tab w:val="left" w:pos="7740"/>
          <w:tab w:val="left" w:pos="8100"/>
          <w:tab w:val="left" w:pos="8280"/>
        </w:tabs>
        <w:spacing w:line="660" w:lineRule="exact"/>
        <w:ind w:firstLine="643" w:firstLineChars="200"/>
        <w:rPr>
          <w:rFonts w:eastAsia="仿宋_GB2312"/>
          <w:sz w:val="32"/>
          <w:szCs w:val="32"/>
        </w:rPr>
      </w:pPr>
      <w:r>
        <w:rPr>
          <w:rFonts w:eastAsia="仿宋_GB2312"/>
          <w:b/>
          <w:bCs/>
          <w:sz w:val="32"/>
          <w:szCs w:val="32"/>
        </w:rPr>
        <w:t>成果考核形式：</w:t>
      </w:r>
      <w:r>
        <w:rPr>
          <w:rFonts w:eastAsia="仿宋_GB2312"/>
          <w:sz w:val="32"/>
          <w:szCs w:val="32"/>
        </w:rPr>
        <w:t>研发中医优势病种临床诊疗关键技术，</w:t>
      </w:r>
      <w:r>
        <w:rPr>
          <w:rFonts w:eastAsia="仿宋_GB2312"/>
          <w:kern w:val="0"/>
          <w:sz w:val="32"/>
          <w:szCs w:val="32"/>
        </w:rPr>
        <w:t>建立不少于1000名患者的随访数据库，</w:t>
      </w:r>
      <w:r>
        <w:rPr>
          <w:rFonts w:eastAsia="仿宋_GB2312"/>
          <w:sz w:val="32"/>
          <w:szCs w:val="32"/>
        </w:rPr>
        <w:t>通过多中心临床研究取得高质量循证医学证据，建立基于新技术新方案的规范化诊疗方案，</w:t>
      </w:r>
      <w:r>
        <w:rPr>
          <w:rFonts w:eastAsia="仿宋_GB2312"/>
          <w:kern w:val="0"/>
          <w:sz w:val="32"/>
          <w:szCs w:val="32"/>
        </w:rPr>
        <w:t>纳入省级以上诊疗规范或指南</w:t>
      </w:r>
      <w:r>
        <w:rPr>
          <w:rFonts w:eastAsia="仿宋_GB2312"/>
          <w:sz w:val="32"/>
          <w:szCs w:val="32"/>
        </w:rPr>
        <w:t>，并在5家以上医院推广应用。</w:t>
      </w:r>
    </w:p>
    <w:p>
      <w:pPr>
        <w:spacing w:line="660" w:lineRule="exact"/>
        <w:ind w:firstLine="600"/>
        <w:jc w:val="left"/>
        <w:rPr>
          <w:rFonts w:eastAsia="黑体"/>
          <w:sz w:val="30"/>
          <w:szCs w:val="30"/>
        </w:rPr>
      </w:pPr>
      <w:r>
        <w:rPr>
          <w:rFonts w:eastAsia="黑体"/>
          <w:sz w:val="30"/>
          <w:szCs w:val="30"/>
        </w:rPr>
        <w:t>领域三：重点人群疾病中医药诊治技术及策略研究</w:t>
      </w:r>
    </w:p>
    <w:p>
      <w:pPr>
        <w:spacing w:line="660" w:lineRule="exact"/>
        <w:ind w:firstLine="643" w:firstLineChars="200"/>
        <w:rPr>
          <w:rFonts w:eastAsia="仿宋_GB2312"/>
          <w:sz w:val="32"/>
          <w:szCs w:val="32"/>
        </w:rPr>
      </w:pPr>
      <w:r>
        <w:rPr>
          <w:rFonts w:eastAsia="仿宋_GB2312"/>
          <w:b/>
          <w:bCs/>
          <w:sz w:val="32"/>
          <w:szCs w:val="32"/>
        </w:rPr>
        <w:t>主要研究内容：</w:t>
      </w:r>
      <w:r>
        <w:rPr>
          <w:rFonts w:eastAsia="仿宋_GB2312"/>
          <w:sz w:val="32"/>
          <w:szCs w:val="32"/>
        </w:rPr>
        <w:t>以提升老人妇女儿童等重点人群健康水平为目标，针对老年性痴呆、帕金森综合征、慢性阻塞性肺病，儿童抽动障碍、性早熟、过敏性鼻炎，妇女月经病、多囊卵巢综合征、不孕不育症，以中医药诊治特色和优势为切入点，以提高临床治疗效果为导向，遵循国际通行的研究规范，开展多学科协同临床研究，采用适宜的临床评价指标，开展循证医学临床评价研究，研制具有显著疗效和原创特色的中医药或中西医结合治疗方案或关键技术。</w:t>
      </w:r>
    </w:p>
    <w:p>
      <w:pPr>
        <w:spacing w:line="660" w:lineRule="exact"/>
        <w:ind w:firstLine="643" w:firstLineChars="200"/>
      </w:pPr>
      <w:r>
        <w:rPr>
          <w:rFonts w:eastAsia="仿宋_GB2312"/>
          <w:b/>
          <w:bCs/>
          <w:sz w:val="32"/>
          <w:szCs w:val="32"/>
        </w:rPr>
        <w:t>成果考核形式：</w:t>
      </w:r>
      <w:r>
        <w:rPr>
          <w:rFonts w:eastAsia="仿宋_GB2312"/>
          <w:kern w:val="0"/>
          <w:sz w:val="32"/>
          <w:szCs w:val="32"/>
        </w:rPr>
        <w:t>形成重点人群疾病</w:t>
      </w:r>
      <w:r>
        <w:rPr>
          <w:rFonts w:eastAsia="仿宋_GB2312"/>
          <w:sz w:val="32"/>
          <w:szCs w:val="32"/>
        </w:rPr>
        <w:t>诊治技术、干预方案或慢性疾病精准诊疗和风险预判新技术</w:t>
      </w:r>
      <w:r>
        <w:rPr>
          <w:rFonts w:eastAsia="仿宋_GB2312"/>
          <w:kern w:val="0"/>
          <w:sz w:val="32"/>
          <w:szCs w:val="32"/>
        </w:rPr>
        <w:t>，建立不少于1000名患者的随访数据库，</w:t>
      </w:r>
      <w:r>
        <w:rPr>
          <w:rFonts w:eastAsia="仿宋_GB2312"/>
          <w:kern w:val="0"/>
          <w:sz w:val="32"/>
          <w:szCs w:val="32"/>
          <w:shd w:val="clear" w:color="auto" w:fill="FFFFFF"/>
        </w:rPr>
        <w:t>指导临床诊疗策略不断优化，</w:t>
      </w:r>
      <w:r>
        <w:rPr>
          <w:rFonts w:eastAsia="仿宋_GB2312"/>
          <w:kern w:val="0"/>
          <w:sz w:val="32"/>
          <w:szCs w:val="32"/>
        </w:rPr>
        <w:t>在5家以上医疗机构推广应用，显著提高重点人群疾病诊治水平</w:t>
      </w:r>
      <w:r>
        <w:rPr>
          <w:rFonts w:eastAsia="仿宋_GB2312"/>
          <w:sz w:val="32"/>
          <w:szCs w:val="32"/>
        </w:rPr>
        <w:t>。</w:t>
      </w:r>
    </w:p>
    <w:p>
      <w:pPr>
        <w:spacing w:line="660" w:lineRule="exact"/>
        <w:ind w:firstLine="600" w:firstLineChars="200"/>
        <w:jc w:val="left"/>
        <w:rPr>
          <w:rFonts w:eastAsia="黑体"/>
          <w:sz w:val="30"/>
          <w:szCs w:val="30"/>
        </w:rPr>
      </w:pPr>
      <w:r>
        <w:rPr>
          <w:rFonts w:eastAsia="黑体"/>
          <w:sz w:val="30"/>
          <w:szCs w:val="30"/>
        </w:rPr>
        <w:t>领域四：医疗机构中药制剂开发和推广应用</w:t>
      </w:r>
    </w:p>
    <w:p>
      <w:pPr>
        <w:spacing w:line="660" w:lineRule="exact"/>
        <w:ind w:firstLine="643" w:firstLineChars="200"/>
        <w:rPr>
          <w:rFonts w:eastAsia="仿宋_GB2312"/>
          <w:sz w:val="32"/>
          <w:szCs w:val="32"/>
        </w:rPr>
      </w:pPr>
      <w:r>
        <w:rPr>
          <w:rFonts w:eastAsia="仿宋_GB2312"/>
          <w:b/>
          <w:bCs/>
          <w:sz w:val="32"/>
          <w:szCs w:val="32"/>
        </w:rPr>
        <w:t>主要研究内容：</w:t>
      </w:r>
      <w:r>
        <w:rPr>
          <w:rFonts w:eastAsia="仿宋_GB2312"/>
          <w:sz w:val="32"/>
          <w:szCs w:val="32"/>
        </w:rPr>
        <w:t>重点聚焦中医具有显著治疗优势的病种，深入挖掘长期使用且有确切疗效的名老中医经验方、经典名方或协定处方，应用现代科学技术手段和方法研究开发优质、高效、安全的医疗机构中药新制剂、新剂型，开展临床诊疗效果的循证医学研究，建立中药制剂质量控制与疗效评价标准及方法，鼓励与平台、企业开展合作研究，为推动我省中药制剂技术创新提供切实有效的中药制剂创新解决方案。</w:t>
      </w:r>
    </w:p>
    <w:p>
      <w:pPr>
        <w:spacing w:line="660" w:lineRule="exact"/>
        <w:ind w:firstLine="643" w:firstLineChars="200"/>
      </w:pPr>
      <w:r>
        <w:rPr>
          <w:rFonts w:eastAsia="仿宋_GB2312"/>
          <w:b/>
          <w:bCs/>
          <w:sz w:val="32"/>
          <w:szCs w:val="32"/>
        </w:rPr>
        <w:t>成果考核形式：</w:t>
      </w:r>
      <w:r>
        <w:rPr>
          <w:rFonts w:eastAsia="仿宋_GB2312"/>
          <w:sz w:val="32"/>
          <w:szCs w:val="32"/>
        </w:rPr>
        <w:t>新开发2</w:t>
      </w:r>
      <w:r>
        <w:rPr>
          <w:rFonts w:hint="eastAsia" w:eastAsia="仿宋_GB2312"/>
          <w:sz w:val="32"/>
          <w:szCs w:val="32"/>
        </w:rPr>
        <w:t>—</w:t>
      </w:r>
      <w:r>
        <w:rPr>
          <w:rFonts w:eastAsia="仿宋_GB2312"/>
          <w:sz w:val="32"/>
          <w:szCs w:val="32"/>
        </w:rPr>
        <w:t>3个具有明显临床优势和特点的医疗机构中药制剂并完成注册或备案，建立与新药研发接轨的制剂应用评价体系和标准化数据库，在10家以上医联体、医共体和科研协作单位等推广使用。</w:t>
      </w:r>
    </w:p>
    <w:p>
      <w:pPr>
        <w:spacing w:line="660" w:lineRule="exact"/>
        <w:ind w:firstLine="600"/>
        <w:jc w:val="left"/>
        <w:rPr>
          <w:rFonts w:eastAsia="黑体"/>
          <w:sz w:val="30"/>
          <w:szCs w:val="30"/>
        </w:rPr>
      </w:pPr>
      <w:r>
        <w:rPr>
          <w:rFonts w:eastAsia="黑体"/>
          <w:sz w:val="30"/>
          <w:szCs w:val="30"/>
        </w:rPr>
        <w:t>领域五：中医智能诊疗设备与数字化关键技术研发与应用</w:t>
      </w:r>
    </w:p>
    <w:p>
      <w:pPr>
        <w:spacing w:line="660" w:lineRule="exact"/>
        <w:ind w:firstLine="643" w:firstLineChars="200"/>
        <w:rPr>
          <w:rFonts w:eastAsia="仿宋_GB2312"/>
          <w:sz w:val="32"/>
          <w:szCs w:val="32"/>
        </w:rPr>
      </w:pPr>
      <w:r>
        <w:rPr>
          <w:rFonts w:eastAsia="仿宋_GB2312"/>
          <w:b/>
          <w:bCs/>
          <w:sz w:val="32"/>
          <w:szCs w:val="32"/>
        </w:rPr>
        <w:t>主要研究内容：</w:t>
      </w:r>
      <w:r>
        <w:rPr>
          <w:rFonts w:eastAsia="仿宋_GB2312"/>
          <w:sz w:val="32"/>
          <w:szCs w:val="32"/>
        </w:rPr>
        <w:t>围绕中医药产品研发和成果转化，以提升中医诊疗能力与数字化水平为目标，研究应用一批标准化、智能化和便捷化的中医诊疗产品，重点在中医诊疗信息采集、中医药大数据分析与智能化处理、智能化诊疗设备研发等领域开展建设与应用。结合数字化、可视化、人工智能等技术，基于新产品新技术，开展中医智能大数据分析、专科专病病历、智能诊疗信息采集、智慧化诊疗等应用子场景和多中心研究，构建数字化应用体系、效果评价体系和相应的标准和规范。</w:t>
      </w:r>
    </w:p>
    <w:p>
      <w:pPr>
        <w:pStyle w:val="3"/>
        <w:spacing w:before="0" w:line="660" w:lineRule="exact"/>
        <w:ind w:firstLine="643" w:firstLineChars="200"/>
        <w:rPr>
          <w:rFonts w:ascii="Times New Roman" w:hAnsi="Times New Roman" w:eastAsia="仿宋_GB2312"/>
          <w:sz w:val="32"/>
          <w:szCs w:val="32"/>
        </w:rPr>
      </w:pPr>
      <w:r>
        <w:rPr>
          <w:rFonts w:ascii="Times New Roman" w:hAnsi="Times New Roman" w:eastAsia="仿宋_GB2312"/>
          <w:b/>
          <w:bCs/>
          <w:sz w:val="32"/>
          <w:szCs w:val="32"/>
        </w:rPr>
        <w:t>成果考核形式</w:t>
      </w:r>
      <w:r>
        <w:rPr>
          <w:rFonts w:ascii="Times New Roman" w:hAnsi="Times New Roman" w:eastAsia="仿宋_GB2312"/>
          <w:sz w:val="32"/>
          <w:szCs w:val="32"/>
        </w:rPr>
        <w:t>：开发</w:t>
      </w:r>
      <w:r>
        <w:rPr>
          <w:rFonts w:ascii="Times New Roman" w:hAnsi="Times New Roman" w:eastAsia="仿宋_GB2312"/>
          <w:spacing w:val="-2"/>
          <w:sz w:val="32"/>
          <w:szCs w:val="32"/>
        </w:rPr>
        <w:t>1</w:t>
      </w:r>
      <w:r>
        <w:rPr>
          <w:rFonts w:ascii="Times New Roman" w:hAnsi="Times New Roman" w:eastAsia="仿宋_GB2312"/>
          <w:sz w:val="32"/>
          <w:szCs w:val="32"/>
        </w:rPr>
        <w:t>种以上具有自主知识产权的新型智能化中医诊疗关键设备或数字化服务系统，建立</w:t>
      </w:r>
      <w:r>
        <w:rPr>
          <w:rFonts w:ascii="Times New Roman" w:hAnsi="Times New Roman" w:eastAsia="仿宋_GB2312"/>
          <w:kern w:val="0"/>
          <w:sz w:val="32"/>
          <w:szCs w:val="32"/>
        </w:rPr>
        <w:t>不少于1000例的临床数据库，新制订行业</w:t>
      </w:r>
      <w:r>
        <w:rPr>
          <w:rFonts w:ascii="Times New Roman" w:hAnsi="Times New Roman" w:eastAsia="仿宋_GB2312"/>
          <w:sz w:val="32"/>
          <w:szCs w:val="32"/>
        </w:rPr>
        <w:t>相关标准规范，</w:t>
      </w:r>
      <w:r>
        <w:rPr>
          <w:rFonts w:ascii="Times New Roman" w:hAnsi="Times New Roman" w:eastAsia="仿宋_GB2312"/>
          <w:spacing w:val="-2"/>
          <w:sz w:val="32"/>
          <w:szCs w:val="32"/>
        </w:rPr>
        <w:t>申报1~2项医疗器械注册证，获得</w:t>
      </w:r>
      <w:r>
        <w:rPr>
          <w:rFonts w:ascii="Times New Roman" w:hAnsi="Times New Roman" w:eastAsia="仿宋_GB2312"/>
          <w:sz w:val="32"/>
          <w:szCs w:val="32"/>
        </w:rPr>
        <w:t>发明专利</w:t>
      </w:r>
      <w:r>
        <w:rPr>
          <w:rFonts w:ascii="Times New Roman" w:hAnsi="Times New Roman" w:eastAsia="仿宋_GB2312"/>
          <w:spacing w:val="-2"/>
          <w:sz w:val="32"/>
          <w:szCs w:val="32"/>
        </w:rPr>
        <w:t>或软件著作权1~2</w:t>
      </w:r>
      <w:r>
        <w:rPr>
          <w:rFonts w:ascii="Times New Roman" w:hAnsi="Times New Roman" w:eastAsia="仿宋_GB2312"/>
          <w:sz w:val="32"/>
          <w:szCs w:val="32"/>
        </w:rPr>
        <w:t>项。</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文鼎小标宋简">
    <w:altName w:val="微软雅黑"/>
    <w:panose1 w:val="00000000000000000000"/>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D3729F"/>
    <w:rsid w:val="74D372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customStyle="1" w:styleId="2">
    <w:name w:val="Normal Indent1"/>
    <w:basedOn w:val="1"/>
    <w:qFormat/>
    <w:uiPriority w:val="0"/>
    <w:pPr>
      <w:ind w:firstLine="420"/>
    </w:pPr>
    <w:rPr>
      <w:rFonts w:ascii="Times New Roman" w:hAnsi="Times New Roman"/>
      <w:szCs w:val="20"/>
    </w:rPr>
  </w:style>
  <w:style w:type="paragraph" w:styleId="3">
    <w:name w:val="toa heading"/>
    <w:basedOn w:val="1"/>
    <w:next w:val="1"/>
    <w:qFormat/>
    <w:uiPriority w:val="0"/>
    <w:pPr>
      <w:spacing w:before="120" w:beforeLines="0" w:beforeAutospacing="0"/>
    </w:pPr>
    <w:rPr>
      <w:rFonts w:ascii="Arial" w:hAnsi="Arial"/>
      <w:sz w:val="24"/>
    </w:rPr>
  </w:style>
  <w:style w:type="character" w:customStyle="1" w:styleId="6">
    <w:name w:val="NormalCharacter"/>
    <w:semiHidden/>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2022-06-27T03:30:00Z</dcterms:created>
  <dc:creator>admin</dc:creator>
  <cp:lastModifiedBy>admin</cp:lastModifiedBy>
  <dcterms:modified xsi:type="dcterms:W3CDTF">2022-06-27T03:31:42Z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